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4A_222/2018 vom 26. November 2018</w:t>
      </w:r>
    </w:p>
    <w:p>
      <w:r>
        <w:t>Bundesgericht, 2018-11-26, IT</w:t>
      </w:r>
    </w:p>
    <w:p>
      <w:r>
        <w:rPr>
          <w:b/>
        </w:rPr>
        <w:t xml:space="preserve">Quelle: </w:t>
      </w:r>
      <w:r>
        <w:t>https://mcp.opencaselaw.ch/entscheid/bger_4A_222_2018</w:t>
      </w:r>
    </w:p>
    <w:p>
      <w:r>
        <w:t>FR: TF 4A_222/2018 du 26 novembre 2018</w:t>
      </w:r>
    </w:p>
    <w:p>
      <w:r>
        <w:t>IT: TF 4A_222/2018 del 26 novembre 2018</w:t>
      </w:r>
    </w:p>
    <w:p>
      <w:pPr>
        <w:pStyle w:val="Heading2"/>
      </w:pPr>
      <w:r>
        <w:t>Erwägungen</w:t>
      </w:r>
    </w:p>
    <w:p>
      <w:r>
        <w:rPr>
          <w:b/>
        </w:rPr>
        <w:t>E. 1</w:t>
      </w:r>
    </w:p>
    <w:p>
      <w:r>
        <w:t>Il ricorso, presentato tempestivamente (combinati art. 46 cpv. 1 lett. a e 100 cpv. 1 LTF) dalla parte soccombente nella procedura cantonale ( art. 76 cpv. 1 lett. a LTF ) e volto contro una sentenza finale ( art. 90 LTF ) emanata su ricorso dall'autorità ticinese di ultima istanza ( art. 75 LTF ) in una causa civile in materia di diritto della locazione con valore litigioso superiore a fr. 15'000.-- (art. 72 cpv. 1 e 74 cpv. 1 lett. a LTF), è ammissibile.</w:t>
      </w:r>
    </w:p>
    <w:p>
      <w:r>
        <w:rPr>
          <w:b/>
        </w:rPr>
        <w:t>E. 2</w:t>
      </w:r>
    </w:p>
    <w:p>
      <w:r>
        <w:t>Davanti al Tribunale di appello la ricorrente aveva contestato la mancata considerazione del suo memoriale conclusivo da parte del Pretore, prevalendosi del divieto di formalismo eccessivo. Aveva sostenuto che la successione a titolo universale verificatasi con la fusione societaria aveva avuto per legge l'effetto di sostituire la F.________AG nella posizione processuale della E.________AG, per cui l'atto scritto presentato da quest'ultima era viziato soltanto da un errore evidente di designazione delle parti, che poteva essere sanato.</w:t>
      </w:r>
    </w:p>
    <w:p>
      <w:r>
        <w:t>Nel ricorso al Tribunale federale la ricorrente rimprovera all'autorità cantonale, dal "profilo procedurale", di non essersi "minimamente pronunciata" su tale censura d'appello e ritiene che il ricorso debba essere accolto già per questo motivo.</w:t>
      </w:r>
    </w:p>
    <w:p>
      <w:r>
        <w:rPr>
          <w:b/>
        </w:rPr>
        <w:t>E. 2.1</w:t>
      </w:r>
    </w:p>
    <w:p>
      <w:r>
        <w:t>Sebbene non lo dica espressamente, la ricorrente lamenta un difetto di motivazione della sentenza impugnata. La questione è retta dall' art. 53 cpv. 1 CPC (cfr. anche l'art. 238 lett. g CPC). La norma va interpretata secondo i principi che la giurisprudenza ha dedotto dall' art. 29 cpv. 2 Cost. Il giudice deve motivare le decisioni in modo tale da permettere alle parti di impugnarle con cognizione di causa. Non deve necessariamente pronunciarsi in modo esplicito ed esaustivo su tutti gli argomenti sollevati dalle parti; è sufficiente che spieghi almeno brevemente le argomentazioni decisive che l'hanno indotto a decidere in un senso piuttosto che in un altro. Il grado di precisione delle spiegazioni dipende dalla natura e dalle circostanze particolari della vertenza (sentenze 5A_886/2017 del 20 marzo 2018 consid. 4.2.1; 4A_223/2016 del 29 luglio 2016 consid. 5 e rinvii).</w:t>
      </w:r>
    </w:p>
    <w:p>
      <w:r>
        <w:rPr>
          <w:b/>
        </w:rPr>
        <w:t>E. 2.2</w:t>
      </w:r>
    </w:p>
    <w:p>
      <w:r>
        <w:t>La Corte cantonale ricorda di passaggio, nei considerandi di fatto, che il Pretore non aveva tenuto conto del memoriale conclusivo della parte convenuta, ma non esamina affatto le censure che questa aveva formulato contro lo stralcio dell'atto; la sentenza impugnata non contiene nessun accenno a tale riguardo.</w:t>
      </w:r>
    </w:p>
    <w:p>
      <w:r>
        <w:t>L'omissione contravviene all'obbligo di motivazione del quale si è detto. La facoltà delle parti di esprimersi sull'esito dell'assunzione delle prove e sul merito della lite nella fase finale del processo è una componente essenziale del diritto di essere sentiti garantito dall' art. 232 cpv. 1 CPC (FRANCESCO TREZZINI, in Commentario pratico al diritto processuale civile svizzero, 2017, vol. 2, n. 1 ad art. 232 CPC ; DANIEL WILLISEGGER, Commento basilese, Schweizerische Zivilprozessordnung, 3aed. 2017, n. 2 ad art. 232 CPC ). La Corte cantonale non poteva perciò ignorare le contestazioni dell'appellante.</w:t>
      </w:r>
    </w:p>
    <w:p>
      <w:r>
        <w:rPr>
          <w:b/>
        </w:rPr>
        <w:t>E. 2.3</w:t>
      </w:r>
    </w:p>
    <w:p>
      <w:r>
        <w:t>La giurisprudenza ha precisato che il diritto di essere sentiti, nonostante il suo carattere formale, non è fine a sé stesso; il suo esercizio deve servire a evitare l'emanazione di giudizi viziati a causa della violazione del diritto delle parti di partecipare alla procedura, in particolare all'assunzione delle prove. Di conseguenza, se non è ravvisabile l'influenza che la lesione del diritto di essere sentiti potrebbe avere avuto sulla procedura, non sussiste un interesse per l'annullamento della decisione ( DTF 143 IV 380 consid. 1.4.1 pag. 386, con rinvii).</w:t>
      </w:r>
    </w:p>
    <w:p>
      <w:r>
        <w:t>Nel caso in esame questo interesse è insito nel fatto che, in forza degli art. 29 cpv. 2 Cost. e 53 cpv. 1 CPC, la ricorrente doveva essere messa nella condizione di conoscere la posizione della Corte d'appello riguardo alle censure di formalismo eccessivo mosse contro il Pretore, a prescindere dalla loro fondatezza. Esse vertevano su di un aspetto come detto essenziale del processo civile ed erano peraltro state formulate in modo molto chiaro nell'atto di appello.</w:t>
      </w:r>
    </w:p>
    <w:p>
      <w:r>
        <w:rPr>
          <w:b/>
        </w:rPr>
        <w:t>E. 3</w:t>
      </w:r>
    </w:p>
    <w:p>
      <w:r>
        <w:t>La censura di violazione del diritto di essere sentiti è pertanto fondata. In ragione del carattere formale della garanzia, la sentenza cantonale va annullata senza che sia necessario esaminare le censure di merito. 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