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4A_220/2022 vom 19. Oktober 2022</w:t>
      </w:r>
    </w:p>
    <w:p>
      <w:r>
        <w:t>Bundesgericht, 2022-10-19, FR</w:t>
      </w:r>
    </w:p>
    <w:p>
      <w:r>
        <w:rPr>
          <w:b/>
        </w:rPr>
        <w:t xml:space="preserve">Quelle: </w:t>
      </w:r>
      <w:r>
        <w:t>https://mcp.opencaselaw.ch/entscheid/bger_4A_220_2022</w:t>
      </w:r>
    </w:p>
    <w:p>
      <w:r>
        <w:t>FR: TF 4A_220/2022 du 19 octobre 2022</w:t>
      </w:r>
    </w:p>
    <w:p>
      <w:r>
        <w:t>IT: TF 4A_220/2022 del 19 ottobre 2022</w:t>
      </w:r>
    </w:p>
    <w:p>
      <w:pPr>
        <w:pStyle w:val="Heading2"/>
      </w:pPr>
      <w:r>
        <w:t>Erwägungen</w:t>
      </w:r>
    </w:p>
    <w:p>
      <w:r>
        <w:rPr>
          <w:b/>
        </w:rPr>
        <w:t>E. 1</w:t>
      </w:r>
    </w:p>
    <w:p>
      <w:r>
        <w:t>Interjeté dans le délai fixé par la loi ( art. 100 al. 1 et art. 46 al. 1 let. a LTF ) par la défenderesse, qui a succombé dans ses conclusions ( art. 76 al. 1 LTF ), et dirigé contre une décision finale ( art. 90 LTF ) rendue sur appel par le tribunal supérieur du canton de Vaud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La recourante reproche à la cour cantonale d'avoir établi et apprécié les faits de manière manifestement inexacte, d'avoir interprété erronément l'art. 3 CCT-SOR et d'avoir rendu une décision arbitraire.</w:t>
      </w:r>
    </w:p>
    <w:p>
      <w:r>
        <w:rPr>
          <w:b/>
        </w:rPr>
        <w:t>E. 3.1.1</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 art. 357 al. 1 CO ). Elles sont appelées clauses normatives. Elles doivent être interprétées de la même manière qu'une loi ( ATF 136 III 283 consid. 2.3.1 et les références citées).</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 ATF 136 III 283 consid. 2.3.1 et les références citées).</w:t>
      </w:r>
    </w:p>
    <w:p>
      <w:r>
        <w:rPr>
          <w:b/>
        </w:rPr>
        <w:t>E. 3.1.2</w:t>
      </w:r>
    </w:p>
    <w:p>
      <w:r>
        <w:t>Le champ d'application de la CCT-SOR a été étendu par arrêtés du Conseil fédéral (arrêts 4A_53/2022 du 30 août 2022 consid. 1.1.1; 4A_299/2012 du 16 octobre 2012 consid. 2.2; cf. ATF 134 III 541 consid. 3)</w:t>
      </w:r>
    </w:p>
    <w:p>
      <w:r>
        <w:t>L'art. 2 al. 1 let. a CCT-SOR prévoit, dans sa version de 2011, que la CCT-SOR s'applique à tous les employeurs et à toutes les entreprises qui exécutent ou font exécuter, à titre principal ou accessoire, des travaux de menuiserie, d'ébénisterie et de charpenterie, y compris la fabrication et la pose de meubles de cuisine.</w:t>
      </w:r>
    </w:p>
    <w:p>
      <w:r>
        <w:t>L'art. 3 al. 1 CCT-SOR dispose que la CCT-SOR s'applique au personnel d'exploitation occupé ou loué par les employeurs mentionnés à l'art. 2, y compris les chefs d'équipe et les contremaîtres, indépendamment du mode de rémunération. L'al. 2 de cette disposition précise que la CCT-SOR ne s'applique pas aux employés travaillant de manière exclusive dans les parties technique et commerciale de l'entreprise.</w:t>
      </w:r>
    </w:p>
    <w:p>
      <w:r>
        <w:t>L'expression " personnel d'exploitation " est parfois utilisée par opposition au personnel administratif ou de bureau. Elle doit être interprétée par rapport au type d'entreprise en cause (arrêt 4A_515/2014 du 26 février 2015 consid. 2.6.2).</w:t>
      </w:r>
    </w:p>
    <w:p>
      <w:r>
        <w:t>En substance, l'art. 18 CCT-SOR prévoit diverses classes de salaire selon les qualifications du travailleur: (1) classe CE pour les chefs d'équipe possédant notamment un brevet fédéral de contremaître ou un diplôme de chef d'équipe, (2) classe A pour les travailleurs titulaires notamment d'un certificat fédéral de capacité, (3) classe B pour les travailleurs occupés à des travaux professionnels ou titulaires d'une attestation fédérale de formation professionnelle et (4) classe C pour les manoeuvres et les travailleurs auxiliaires.</w:t>
      </w:r>
    </w:p>
    <w:p>
      <w:r>
        <w:t>Le champ d'application de la CCT-SOR distingue dès lors entre la nature de l'activité, qui est fonction de celle de l'employeur (art. 2 CCT-SOR), et le type d'activité, qui est quant à lui déterminé par celle du travailleur (art. 3 CCT-SOR). Dès lors, si l'activité d'un employeur est visée par au moins une catégorie prévue à l'art. 2 CCT-SOR, son ou ses employé (s) sont, en règle générale, soumis à la CCT-SOR, à moins que ceux-ci ne travaillent exclusivement dans les parties technique ou commerciale de l'entreprise (cf. art. 3 al. 2 CCT-SOR).</w:t>
      </w:r>
    </w:p>
    <w:p>
      <w:r>
        <w:rPr>
          <w:b/>
        </w:rPr>
        <w:t>E. 3.1.3</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3.2</w:t>
      </w:r>
    </w:p>
    <w:p>
      <w:r>
        <w:t>La cour cantonale a, dans un premier temps, considéré que le rapport de travail litigieux entrait dans le champ d'application de l'art. 3 al. 1 CCT-SOR. En substance, elle a retenu que le demandeur effectuait des travaux de nettoyage, contrôlait les stocks de petit matériel, accomplissait des livraisons et faisait de la manutention, contrôlait la fermeture des portes d'accès et l'extinction des lumières en fin de journée, vidait des caisses de déchets et triait différents matériaux et nettoyait les deux cabines de giclage. Elle a considéré comme établi le fait que le demandeur effectuait des livraisons de marchandises sur les chantiers, déchargeait le matériel et, très occasionnellement, avait même aidé à poser les meubles ou avait tenu les planches pour la découpe. Elle a indiqué que le représentant de la défenderesse avait admis que le demandeur avait effectué du travail de manutention et que les livraisons avaient lieu trois ou quatre fois par mois. La cour cantonale a jugé que les différentes tâches du demandeur, en particulier les nettoyages des cabines de giclage, les livraisons et le déchargement de marchandises, faisaient partie du processus d'exploitation de l'intimée, active dans la menuiserie, l'ébénisterie et l'agencement.</w:t>
      </w:r>
    </w:p>
    <w:p>
      <w:r>
        <w:t>Dans un second temps, la cour cantonale a jugé que le rapport de travail litigieux n'était pas visé par l'exclusion de l'art. 3 al. 2 CCT-SOR. Elle a considéré qu'une partie de l'activité du demandeur s'était déroulée en atelier (travaux de nettoyage, gestion de stocks, contrôle de fermeture des portes et extinction des lumières) et une autre sur les chantiers (livraisons et déchargement de marchandises, manutention) et que cette seconde partie consistait en une " activité régulière puisque le représentant de [la société] a[vait] expliqué que les livraisons avaient lieu trois ou quatre fois par mois ". Elle a relevé qu'il avait été établi qu'il arrivait au demandeur de démonter des palettes et que, occasionnellement, il avait aidé à poser des meubles sur les chantiers ou avait tenu les planches de bois pour la découpe.</w:t>
      </w:r>
    </w:p>
    <w:p>
      <w:r>
        <w:t>Selon la cour cantonale, la notion de " partie technique " de l'art. 3 al. 2 CCT-SOR devait être interprétée selon son sens littéral, mais aussi en tenant compte du but de la CCT-SOR. Elle a rappelé que les premiers juges avaient relevé que l'art. 3 CCT-SOR distinguait clairement entre les travailleurs d'exploitation, actifs sur les chantiers ou les ateliers, et ceux occupés de manière exclusive dans les parties technique ou commerciale de l'entreprise, soulignant que le but de la CCT-SOR était une protection accrue des travailleurs de la première catégorie au regard des sollicitations physiques de leur métier. Or, selon la cour cantonale, le nettoyage, la livraison et le déchargement de marchandises sur les chantiers, comme tout autre travail de manutention, comptent parmi les activités sollicitant physiquement l'employé, de sorte qu'il convenait de considérer que le terme de " partie technique " concerne les activités de réalisation et de production, telles que celles exercées par les dessinateurs ou les ingénieurs. La cour cantonale a jugé que les activité déployées par le travailleur n'entraient donc pas dans le champ d'exclusion de l'art. 3 al. 2 CCT-SOR et que, même si la notion de " partie technique " devait viser toutes les activités accomplies en atelier, la solution n'en aurait pas été différente, dans la mesure où une partie de l'activité du travailleur (soit les livraisons et le déchargement) s'était déroulée sur les chantiers, ce qui excluait de retenir que le travailleur était " exclusivement " rattaché à la partie technique de la société. La cour cantonale a relevé que la Commission paritaire des métiers du bâtiment Second oeuvre Genève considérait elle aussi que les livreurs-manutentionnaires sur les chantiers étaient soumis à la CCT-SOR.</w:t>
      </w:r>
    </w:p>
    <w:p>
      <w:r>
        <w:rPr>
          <w:b/>
        </w:rPr>
        <w:t>E. 3.3.1</w:t>
      </w:r>
    </w:p>
    <w:p>
      <w:r>
        <w:t>La recourante invoque, premièrement, que la cour cantonale aurait établi et apprécié les faits de manière manifestement inexacte.</w:t>
      </w:r>
    </w:p>
    <w:p>
      <w:r>
        <w:t>Elle argue que la cour cantonale aurait apprécié de manière manifestement inexacte les témoignages, dans la mesure où C.________, gérant président de la société associée de la défenderesse, aurait indiqué qu'il arrivait parfois au travailleur de se rendre sur les chantiers et non trois à quatre fois par mois et où les autres témoignages auraient indiqué que la fréquence de la présence du travailleur sur les chantiers était encore moindre.</w:t>
      </w:r>
    </w:p>
    <w:p>
      <w:r>
        <w:t>Selon elle, c'est également de manière manifestement inexacte que la cour cantonale aurait apprécié la circulaire de la Commission paritaire des métiers du bâtiment Second oeuvre Genève, en tant notamment que celle-ci ne saurait proposer sa lecture de la CCT-SOR que sur son territoire cantonal, que seule la Commission professionnelle paritaire du second-oeuvre romand serait compétente pour interpréter la CCT-SOR conformément à l' art. 48 al. 4 let . c CCT-SOR et que ladite circulaire interviendrait dans le contexte particulier de la location de personnel.</w:t>
      </w:r>
    </w:p>
    <w:p>
      <w:r>
        <w:t>Enfin, la recourante soutient que la cour cantonale aurait erronément écarté l'avis de la Commission professionnelle paritaire du second oeuvre vaudois qui avait décidé de ne pas engager de contrôle approfondi car elle aurait été convaincue que les rapports de travail qui liaient le demandeur à la défenderesse ne devaient pas être soumis à la CCT-SOR.</w:t>
      </w:r>
    </w:p>
    <w:p>
      <w:r>
        <w:rPr>
          <w:b/>
        </w:rPr>
        <w:t>E. 3.3.2</w:t>
      </w:r>
    </w:p>
    <w:p>
      <w:r>
        <w:t>Deuxièmement, la recourante invoque que la cour cantonale aurait interprété l'art. 3 CCT-SOR de manière erronée, dans la mesure, d'une part, où ce serait sous l'angle des prestations caractéristiques du métier exercé par le travailleur qu'il y aurait lieu de se placer, comme cela " découle[rait] expressément d'ailleurs de l'art. 3 al. 1 lu en relation avec l'art. 1er let. a CCT-SOR ", et, d'autre part, où ce serait à tort que la cour cantonale aurait entièrement focalisé son examen sur le champ d'application personnel de la CCT-SOR à l'égard de la recourante en passant outre celui des tâches concrètes exercées par l'intimé.</w:t>
      </w:r>
    </w:p>
    <w:p>
      <w:r>
        <w:t>Procédant à une interprétation téléologique de la CCT-SOR, la recourante avance (1) que la CCT-SOR n'aurait pas pour but d'offrir sa protection à un travailleur dont le cahier des charges n'entre pas dans le champ d'application matériel des activités professionnelles qu'elle couvre, (2) que le fait que l'intimé se soit très occasionnellement trouvé sur un chantier pour y livrer des éléments de menuiserie n'enlèverait rien au fait que l'immense majorité de ses tâches relevait du nettoyage et de la manutention en entrepôt, et (3) que tous les témoignages confirmeraient que les activités de l'intimé n'entraient pas dans le champ d'application de la CCT-SOR et que celui-ci n'aurait jamais exercé la moindre tâche de menuisier, cela lui étant d'ailleurs interdit.</w:t>
      </w:r>
    </w:p>
    <w:p>
      <w:r>
        <w:t>Continuant avec une interprétation systématique de la CCT-SOR, la recourante avance que l'art. 3 CCT-SOR ferait une distinction entre le personnel d'exploitation et les employés travaillant de manière exclusive dans les parties techniques et commerciales de l'entreprise pour tenir compte d'une forme de pénibilité du travail des premiers à laquelle les seconds ne seraient pas exposés. Selon elle, la CCT-SOR ne vise pas le personnel de nettoyage et de cantine, contrairement notamment à la convention du secteur principal de la construction en Suisse.</w:t>
      </w:r>
    </w:p>
    <w:p>
      <w:r>
        <w:t>La recourante fait valoir que la cour cantonale aurait fait totalement abstraction du contrat de travail, qui ne renvoyait pas à la CCT-SOR, et de l'attitude contradictoire du demandeur intimé, qui aurait été parfaitement conscient du fait qu'une évolution de son cahier des charges et de ses compétences devait être convenue avec la société défenderesse pour qu'il puisse prétendre bénéficier des conditions de la CCT-SOR.</w:t>
      </w:r>
    </w:p>
    <w:p>
      <w:r>
        <w:t>Selon la recourante, la cour cantonale aurait également fait une comparaison inadéquate avec l'art. 9 de la loi fédérale du 13 mars 1964 sur le travail dans l'industrie, l'artisanat et le commerce (LTr; RS 822.11), dans la mesure où cette disposition distinguerait les tâches en fonction de leur nature tandis que la CCT-SOR distinguerait des tâches concrètes entrant dans son champ d'application en fonction des endroits physiques où elles sont déployées.</w:t>
      </w:r>
    </w:p>
    <w:p>
      <w:r>
        <w:rPr>
          <w:b/>
        </w:rPr>
        <w:t>E. 3.3.3</w:t>
      </w:r>
    </w:p>
    <w:p>
      <w:r>
        <w:t>Troisièmement, la recourante invoque le fait que l'arrêt entrepris serait frappé d'arbitraire, dans la mesure où la cour cantonale aurait complété l'état de fait avec des éléments étrangers à la présente cause et sans pertinence, gravement failli dans l'interprétation des moyens de preuve et interprété le droit de manière complètement contraire aux principes prétoriens. Enfin, elle prétend que, si le Tribunal fédéral devait confirmer l'interprétation de la cour cantonale, cela pourrait " entraîner des conséquences contre-productives ", que les employeurs " nourriraient une légitime méfiance à l'endroit de l'interprétation faite d'un tel texte conventionnel " et qu'il serait " catastrophique qu'un tel écueil entraine [sic] un mouvement de dénonciation de la CCT-SOR ".</w:t>
      </w:r>
    </w:p>
    <w:p>
      <w:r>
        <w:rPr>
          <w:b/>
        </w:rPr>
        <w:t>E. 3.4</w:t>
      </w:r>
    </w:p>
    <w:p>
      <w:r>
        <w:t>La recourante ne contestant pas être active dans un domaine visé par la CCT-SOR, soit celui de la menuiserie et de l'ébénisterie, il convient d'examiner si l'intimé faisait partie du personnel d'exploitation ou s'il travaillait de manière exclusive dans les parties technique et commerciale de la recourante.</w:t>
      </w:r>
    </w:p>
    <w:p>
      <w:r>
        <w:t>Bien que l'expression " personnel d'exploitation " ne soit pas définie par la CCT-SOR, il ressort de la systématique de l'art. 3 CCT-SOR qu'elle s'oppose à celle de personnel technique et/ou commercial. Cette interprétation coïncide avec la jurisprudence du Tribunal fédéral selon laquelle ladite expression est parfois utilisée par opposition au personnel administratif ou de bureau. Par ailleurs, le Tribunal de prud'hommes a défini les travailleurs d'exploitation comme les " travailleurs actifs sur les chantiers ou les ateliers "; cette définition apparaît opportune dans le domaine de la menuiserie et de l'ébénisterie.</w:t>
      </w:r>
    </w:p>
    <w:p>
      <w:r>
        <w:t>L'argumentation de la recourante, selon laquelle l'intimé n'était pas soumis à la CCT-SOR parce qu'il n'effectuait pas de travail de menuiserie et qu'il n'effectuait qu'exceptionnellement des livraisons d'éléments devant ensuite être montés par d'autres employés, ne saurait être suivie. En effet, il n'est pas soutenable de considérer que l'art. 3 al. 1 CCT-SOR exigerait que le personnel d'exploitation doive effectuer des tâches de menuiserie pour être soumis à la CCT-SOR. D'une part, cette condition ne ressort pas du texte de cette disposition, qui fait seulement référence au personnel d'exploitation. D'autre part, l'art. 18 CCT-SOR vise notamment les manoeuvres, soit les travailleurs effectuant des tâches ne nécessitant pas de formation, cet intitulé correspondant par ailleurs à celui qu'avait l'intimé. Dès lors que l'intimé effectuait parfois des livraisons et que cette activité entrait dans son cahier des charges, il faisait partie du personnel d'exploitation. Le fait de savoir si l'intimé était présent sur les chantiers trois à quatre fois par mois ou " parfois " n'est dès lors pas déterminant. Cette interprétation est par ailleurs conforme à celle soutenue par la recourante, soit celle consistant à tenir compte d'une forme de pénibilité du travail, dans la mesure où la livraison d'éléments à monter est, selon l'expérience générale de la vie, une activité physiquement pénible.</w:t>
      </w:r>
    </w:p>
    <w:p>
      <w:r>
        <w:t>En raison des livraisons effectuées par l'intimé, celui-ci n'était par ailleurs pas exclusivement actif dans les parties technique et commerciale de la recourante, étant précisé que la CCT-SOR ne prescrit pas de déterminer l'activité prépondérante du travailleur. Dès lors, l'intimé n'est pas visé par l'exclusion de l'art. 3 al. 2 CCT-SOR.</w:t>
      </w:r>
    </w:p>
    <w:p>
      <w:r>
        <w:t>C'est dès lors à bon droit et sans arbitraire que la cour cantonale a considéré que le rapport de travail litigieux était soumis à la CCT-SOR.</w:t>
      </w:r>
    </w:p>
    <w:p>
      <w:r>
        <w:t>La recourante ne saurait par ailleurs tirer argument du fait que la Commission professionnelle paritaire du second oeuvre vaudois a renoncé à un contrôle approfondi, dans la mesure où les raisons de cette décision, intervenant plus d'un an après le dépôt de la demande du travailleur, ne ressortent pas de l'état de fait constaté par la cour cantonale et où la recourante ne sollicite pas son complètement sur ce point.</w:t>
      </w:r>
    </w:p>
    <w:p>
      <w:r>
        <w:t>L'avis de la Commission paritaire des métiers du bâtiment Second oeuvre Genève n'ayant été évoqué par la cour cantonale que pour confirmer le résultat auquel elle était parvenu, il n'est pas déterminant pour l'issue du litige. Il en va de même de la comparaison avec l' art. 9 LTr .</w:t>
      </w:r>
    </w:p>
    <w:p>
      <w:r>
        <w:t>La recourante erre également lorsqu'elle indique que le contrat de travail litigieux ne renvoyait pas à la CCT-SOR; ce faisant, elle perd de vue que le champ d'application de celle-ci a été étendu par arrêtés successifs du Conseil fédéral. Par ailleurs, elle n'invoque ni n'établit avoir fait valoir devant la cour cantonale que le demandeur aurait violé le principe de la bonne foi ( art. 2 CC ), de sorte que son grief est irrecevable (cf.</w:t>
      </w:r>
    </w:p>
    <w:p>
      <w:r>
        <w:t>supra consid. 3.1.3).</w:t>
      </w:r>
    </w:p>
    <w:p>
      <w:r>
        <w:t>Les griefs de la recourante doivent donc être rejetés.</w:t>
      </w:r>
    </w:p>
    <w:p>
      <w:r>
        <w:t>Dans la mesure où la recourante ne conteste pas les montants alloués au demandeur par la cour cantonale, la Cour de céans n'examinera pas cette question (cf.</w:t>
      </w:r>
    </w:p>
    <w:p>
      <w:r>
        <w:t>supra consid. 2.2).</w:t>
      </w:r>
    </w:p>
    <w:p>
      <w:r>
        <w:rPr>
          <w:b/>
        </w:rPr>
        <w:t>E. 4</w:t>
      </w:r>
    </w:p>
    <w:p>
      <w:r>
        <w:t>Au vu de ce qui précède, le recours doit être rejeté.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