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220/2017 vom 8. Januar 2018</w:t>
      </w:r>
    </w:p>
    <w:p>
      <w:r>
        <w:t>Bundesgericht, 2018-01-08, FR</w:t>
      </w:r>
    </w:p>
    <w:p>
      <w:r>
        <w:rPr>
          <w:b/>
        </w:rPr>
        <w:t xml:space="preserve">Quelle: </w:t>
      </w:r>
      <w:r>
        <w:t>https://mcp.opencaselaw.ch/entscheid/bger_4A_220_2017</w:t>
      </w:r>
    </w:p>
    <w:p>
      <w:r>
        <w:t>FR: TF 4A 220/2017 du 8 janvier 2018</w:t>
      </w:r>
    </w:p>
    <w:p>
      <w:r>
        <w:t>IT: TF 4A 220/2017 del 8 gennaio 2018</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(la recourante), qui de l'allemand (l'intimée).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des conclusions prises par la recourante ou encore du motif de recours invoqué, aucune de ces conditions de recevabilité ne fait problème en l'espèce. Rien ne s'oppose donc à l'entrée en matière.</w:t>
      </w:r>
    </w:p>
    <w:p>
      <w:r>
        <w:rPr>
          <w:b/>
        </w:rPr>
        <w:t>E. 3</w:t>
      </w:r>
    </w:p>
    <w:p>
      <w:r>
        <w:t>Dans un unique moyen, la recourante, invoquant l' art. 190 al. 2 let . d LDIP, reproche à l'arbitre d'avoir violé son droit d'être entendue. Selon elle, l'argument retenu dans la sentence attaquée pour rejeter ses conclusions n'aurait pas été soulevé, même implicitement ou de façon allusive, par les parties dans leurs écritures. Du reste, lorsque l'arbitre envisageait l'application d'une norme dont aucune des parties ne s'était prévalue, il en informait préalablement celles-ci et les invitait à se déterminer à ce sujet, ce qu'il n'avait pas fait relativement audit argument. Il n'avait, de surcroît, pas mentionné ce dernier dans les instructions qu'il avait données aux parties, sur requête de la demanderesse, quant aux sujets qu'il souhaitait les voir traiter dans leurs conclusions après auditions. Dans ces conditions, la recourante, selon ses dires, ne pouvait pas s'attendre à ce que l'arbitre élaborât de son propre chef, et sans donner aux parties l'occasion de s'exprimer sur ce point, un nouvel argument voulant que les différents accords souscrits par les parties fussent dépourvus d'un droit d'action, en dépit de la mention expresse d'un tel droit dans le texte de chacun d'entre eux.</w:t>
      </w:r>
    </w:p>
    <w:p>
      <w:r>
        <w:rPr>
          <w:b/>
        </w:rPr>
        <w:t>E. 3.1</w:t>
      </w:r>
    </w:p>
    <w:p>
      <w:r>
        <w:t>En Suisse, le droit d'être entendu en procédure contradictoire, loin d'être illimité, connaît, au contraire, d'importantes restrictions dans le domaine de l'arbitrage international. Ainsi n'exige-t-il pas qu'une sentence arbitrale internationale soit motivée. Une partie n'a, en outre, pas le droit de se prononcer sur l'appréciation juridique des faits ni, plus généralement, sur l'argumentation juridique à retenir, à moins que le tribunal arbitral n'envisage de fonder sa décision sur une norme ou un motif juridique non évoqué au cours de la procédure et dont aucune des parties en présence ne s'est prévalue et ne pouvait supputer la pertinence dans la cause en litige. Le tribunal arbitral n'est pas non plus tenu d'aviser spécialement une partie du caractère décisif d'un élément de fait sur lequel il s'apprête à fonder sa décision, pour autant que celui-ci ait été allégué et prouvé selon les règles. Au demeurant, le grief tiré de la violation du droit d'être entendu ne doit pas servir, pour la partie qui se plaint de vices affectant la motivation de la sentence, à provoquer par ce biais un examen de l'application du droit de fond ( ATF 142 III 360 consid. 4.1.2 et les précédents cités).</w:t>
      </w:r>
    </w:p>
    <w:p>
      <w:r>
        <w:rPr>
          <w:b/>
        </w:rPr>
        <w:t>E. 3.2</w:t>
      </w:r>
    </w:p>
    <w:p>
      <w:r>
        <w:t>Considéré à la lumière de ces principes, le grief soulevé apparaît dénué de tout fondement. L'interprétation subjective constitue l'un des deux piliers sur lesquels repose l'interprétation des contrats en droit suisse (cf. art. 18 al. 1 CO ), le second étant l'interprétation objective ( ATF 142 III 239 consid. 5.2.1 et les arrêts cités). En ce domaine, il n'y a donc, a priori, guère de place pour un effet de surprise susceptible de prendre les parties au dépourvu, que celles-ci aient été invitées ou non par le tribunal arbitral ou l'arbitre unique à répondre à des questions spécifiques sans rapport apparent avec la problématique soulevée par le cas concret (cf. arrêt 4A_136/2016 du 3 novembre 2016 consid. 5.2). De fait, une partie appelée à s'interroger, comme en l'espèce, sur le sens d'une opération multiforme ayant donné lieu à la signature de plusieurs contrats paraissant interdépendants prima facie en raison, notamment, de la mention, dans l'un ou l'autre de ceux-ci, du nom de personnes physiques et/ou morales apparaissant comme parties à une ou plusieurs autres conventions versées au dossier de la procédure arbitrale pendante ne doit pas limiter le champ des possibles à l'interprétation individuelle de ces contrats chacun pour soi, mais doit, à tout le moins envisager, qu'il puisse exister entre eux un lien de connexité, puis, sur la foi de cette hypothèse, se demander quelle pourrait être la conséquence concrète, in casu , d'un tel lien à l'égard des prétentions élevées par elle ou par son adverse partie sur le fondement d'une seule des conventions entrant en ligne de compte. Dans ce cadre-là, elle sera immanquablement conduite à se demander si l'existence d'un groupe de contrats connexes, dont l'un au moins n'a pas encore été exécuté, ne fait pas obstacle à la possibilité pour elle de déduire en justice une prétention que lui confère l'un de ces contrats dans lequel figure une clause arbitrale. Pour le surplus, dans chacun de leurs mémoires de réponse respectifs, tant l'intimée que l'arbitre démontrent de manière convaincante, références aux écritures des parties et aux déclarations des témoins à l'appui, sans que la recourante ne vienne les contredire puisqu'elle n'a pas déposé de réplique, que les deux parties se sont amplement exprimées, au cours de la procédure, sur la nature de l'opération litigieuse considérée dans sa globalité et que les nouveaux conseils de l'intimée ont saisi cette occasion pour mettre l'accent sur l'interdépendance des trois conventions susmentionnées (cf. let. A.b). Que l'arbitre ne leur ait pas posé directement des questions à ce sujet et qu'il ait même soulevé spontanément un autre aspect du litige - l'applicabilité de la Convention des Nations Unies sur les contrats de vente internationale de marchandises conclue à Vienne le 11 avril 1980 (RS 0.221.211.1) - n'y change rien, comme on l'a déjà souligné. En définitive, ce que la recourante cherche à démontrer, sous le couvert du grief tiré de la violation de son droit d'être entendue, c'est une prétendue méconnaissance par l'arbitre de l' art. 18 CO et de la jurisprudence y relative dans l'interprétation de la volonté exprimée par les parties lors de la négociation puis de la conclusion de l'opération litigieuse. Elle cherche, par ce biais, à entraîner la Cour de céans sur le terrain de l'application du droit matériel et à l'inciter indirectement à se prononcer sur la qualification juridique des contrats concernés par l'opération sus-indiquée. Or, telle n'est pas la tâche du Tribunal fédéral lorsqu'il est saisi d'un recours en matière civile visant une sentence rendue dans le cadre d'un arbitrage international. D'où il suit que le présent recours ne peut qu'être rejeté, ce qui entraîne également la caducité de l'ordonnance présidentielle qui lui avait accordé l'effet suspensif.</w:t>
      </w:r>
    </w:p>
    <w:p>
      <w:r>
        <w:rPr>
          <w:b/>
        </w:rPr>
        <w:t>E. 4</w:t>
      </w:r>
    </w:p>
    <w:p>
      <w:r>
        <w:t>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