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220/2016 vom 27. Juli 2016</w:t>
      </w:r>
    </w:p>
    <w:p>
      <w:r>
        <w:t>Bundesgericht, 2016-07-27, DE</w:t>
      </w:r>
    </w:p>
    <w:p>
      <w:r>
        <w:rPr>
          <w:b/>
        </w:rPr>
        <w:t xml:space="preserve">Quelle: </w:t>
      </w:r>
      <w:r>
        <w:t>https://mcp.opencaselaw.ch/entscheid/bger_4A_220_2016</w:t>
      </w:r>
    </w:p>
    <w:p>
      <w:r>
        <w:t>FR: TF 4A 220/2016 du 27 juillet 2016</w:t>
      </w:r>
    </w:p>
    <w:p>
      <w:r>
        <w:t>IT: TF 4A 220/2016 del 27 luglio 2016</w:t>
      </w:r>
    </w:p>
    <w:p>
      <w:pPr>
        <w:pStyle w:val="Heading2"/>
      </w:pPr>
      <w:r>
        <w:t>Regeste</w:t>
      </w:r>
    </w:p>
    <w:p>
      <w:r>
        <w:t>Parteientschädigung | Vertragsrecht</w:t>
      </w:r>
    </w:p>
    <w:p>
      <w:pPr>
        <w:pStyle w:val="Heading2"/>
      </w:pPr>
      <w:r>
        <w:t>Erwägungen</w:t>
      </w:r>
    </w:p>
    <w:p>
      <w:r>
        <w:rPr>
          <w:b/>
        </w:rPr>
        <w:t>E. 1</w:t>
      </w:r>
    </w:p>
    <w:p>
      <w:r>
        <w:t>Die Hauptsache betrifft die Leistungspflicht aus einer Zusatzversicherung zur sozialen Krankenversicherung. Derartige Zusatzversicherungen unterstehen gemäss Art. 2 Abs. 2 des Bundesgesetzes betreffend die Aufsicht über die soziale Krankenversicherung (Krankenversicherungsaufsichtsgesetz, KVAG; SR 832.12; bis zum 1. Januar 2016: Art. 12 Abs. 2 und 3 des Bundesgesetzes über die Krankenversicherung [KVG; SR 832.10], vgl. Botschaft zum Bundesgesetz betreffend die Aufsicht über die soziale Krankenversicherung, BBl 2012 S. 1941 ff., S. 1956) dem Bundesgesetz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 Dies gilt auch, wenn wie hier einzig der Entscheid über die Parteientschädigung angefochten ist. Da auch die übrigen Sachurteilsvoraussetzungen erfüllt sind, ist unter Vorbehalt einer rechtsgenügenden Begründung (vgl.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Diesen Anforderungen genügt die Beschwerdeführerin nicht, wenn sie lediglich pauschal behauptet, dass eine "substantiierte Begründung" fehle, weshalb die Vorinstanz den angemessenen Aufwand ihres Rechtsvertreters auf 28 Stunden festgesetzt habe. Darauf ist nicht einzutreten.</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Vor Bundesgericht ist einzig die Festsetzung der Parteientschädigung durch die Vorinstanz strittig. Die Beschwerdeführerin macht dabei geltend, dass die Vorinstanz die Bemessungskriterien nach der kantonalen Bestimmung von § 34 Abs. 2 [recte: Abs. 3] des Gesetzes über das Sozialversicherungsgericht (GSVGer, LS 212.81) willkürlich angewandt und damit Art. 9 BV verletzt habe. Die Vorinstanz lasse einerseits völlig ausser Acht, dass es sich bei der Klage um einen bedeutenden Streitfall mit erheblichen finanziellen Auswirkungen handle, denn der Beschwerdegegner würde Taggelder in der Höhe von über Fr. 313'000.-- verlangen. Zwar sei die Parteientschädigung streitwertunabhängig festzulegen, angesichts eines solch hohen Streitwerts könne jedoch nicht mehr ernsthaft von einem Bagatellfall oder einem unbedeutenden Streitfall ausgegangen werden. Andererseits lasse die Vorinstanz die Tatsache unberücksichtigt, dass es sich um eine rechtlich anspruchsvolle Angelegenheit handle. Die "höchst komplexen und schlichtweg nicht nachvollziehbaren (bestrittenen) Berechnungen" des Beschwerdegegners und seine widersprüchlichen Angaben hätten einen enormen Zeitaufwand erfordert. Der geltend gemachte anwaltliche Aufwand sei insbesondere wegen der umfangreichen und ausschweifenden Rechtsschriften des Beschwerdegegners nötig geworden. Angesichts des Umstandes, dass mit dem von der Vorinstanz zugestandenen Aufwand nicht einmal die Rechtsschriften abgedeckt seien (er habe insgesamt 74 Seiten Rechtsschriften verfasst), erweise sich die zugesprochene Parteientschädigung ausserhalb jedes vernünftigen Verhältnisses zum getätigten und aufgrund der Vorbringen des Beschwerdegegners erforderlichen Aufwands, sodass sich die Höhe der Parteientschädigung als offensichtlich unhaltbar und willkürlich im Sinne von Art. 9 BV erweise.</w:t>
      </w:r>
    </w:p>
    <w:p>
      <w:r>
        <w:rPr>
          <w:b/>
        </w:rPr>
        <w:t>E. 3.2</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139 III 334 E. 3.2.5 S. 339 mit Hinweisen). Dabei greift das Bundesgericht in vorinstanzliche Ermessensentscheide, zu denen Entscheide über die Höhe der Parteientschädigung gehören, nur mit grösster Zurückhaltung ein (vgl. BGE 139 III 334 E. 3.2.5 S. 339 bezüglich der Höhe der Gerichtskosten).</w:t>
      </w:r>
    </w:p>
    <w:p>
      <w:r>
        <w:rPr>
          <w:b/>
        </w:rPr>
        <w:t>E. 3.3</w:t>
      </w:r>
    </w:p>
    <w:p>
      <w:r>
        <w:t>Die Vorinstanz erwog, dass nach Art. 96 ZPO die Kantone zuständig seien, die Tarife für die Prozesskosten festzusetzen. Das zürcherische Ausführungsgesetz zur ZPO, das Gesetz über die Gerichts- und Behördenorganisation im Zivil- und Strafprozess (GOG; LS 211.1), enthalte keine für das Sozialversicherungsgericht anwendbare Tarifbestimmung. Dasselbe gelte für die Verordnung über die Anwaltsgebühren (AnwGebV; LS 215.3). Die Bemessung der Parteientschädigung richtete sich somit nach § 34 GSVGer und den §§ 1, 6, 7 und 8 der Verordnung über die Gebühren, Kosten und Entschädigungen vor dem Sozialversicherungsgericht (GebV SVGer; LS 212.812). Gemäss § 34 Abs. 1 [recte: Abs. 3] GSVGer sei die Höhe der gerichtlich festzusetzenden Entschädigung nach der Bedeutung der Streitsache, der Schwierigkeit des Prozesses und dem Mass des Obsiegens, jedoch ohne Rücksicht auf den Streitwert festzusetzen. Für unnötigen oder geringfügigen Aufwand einer Partei werde keine Parteientschädigung zugesprochen (§ 7 Abs. 1 GebV SVGer). Der Rechtsvertreter der Beschwerdeführerin habe dem Gericht am 13. Juli 2015 seine Honorarnote eingereicht. Dieser sei ein nicht weiter detaillierter, sondern pauschaler Zeitaufwand von 130 Stunden für wiederholtes, umfangreiches Aktenstudium, diverse Instruktionsbesprechungen, Korrespondenz und Telefonate mit der Klientin, Korrespondenz und Telefonate mit dem Sozialversicherungsgericht, umfangreiche rechtliche Abklärungen und das Verfassen von Klageantwort, Duplik und Quadruplik zu entnehmen. Beim geltend gemachten Stundenansatz von Fr. 300.-- ergebe dies eine Honorarforderung von Fr 39'000.-- (ohne Mehrwertsteuer). Zusätzlich würden in der Honorarnote pauschale Spesen für Kopien, Porti und Telefongebühren von 3 % in der Höhe von Fr. 1'170.-- (ohne Mehrwertsteuer) aufgeführt. Der geltend gemachte pauschale zeitliche Aufwand von 130 Stunden sei, so die Vorinstanz weiter, unter Berücksichtigung der Bedeutung der Streitsache und der Schwierigkeiten des Prozesses sowie insbesondere auch mit Blick auf den praxisgemäss bei vergleichbaren Verfahren anerkannten Zeitaufwand deutlich überhöht. In Würdigung der gesamten Umstände und unter Berücksichtigung der vorgenannten Grundsätze erscheine ein Aufwand von 10 Stunden im Zeitraum bis 31. Dezember 2014 und 18 Stunden ab 1. Januar 2015, insgesamt also 28 Stunden, als angemessen und gerechtfertigt. Bei einem Stundensatz von Fr. 200.-- (bis 31. Dezember 2014) beziehungsweise von Fr. 220.-- (ab 1. Januar 2015) ergebe dies, inklusive Mehrwertsteuer, eine Entschädigung für den zeitlichen Aufwand von gerundet Fr. 7'700.--. Unter Berücksichtigung einer Spesenpauschale von 3 % beziehungsweise Fr. 231.-- (mit Mehrwertsteuer) belaufe sich die der Beschwerdeführerin zuzusprechende Parteientschädigung auf Fr. 7'931.-- (inkl. Mehrwertsteuer und Barauslagen).</w:t>
      </w:r>
    </w:p>
    <w:p>
      <w:r>
        <w:rPr>
          <w:b/>
        </w:rPr>
        <w:t>E. 3.4</w:t>
      </w:r>
    </w:p>
    <w:p>
      <w:r>
        <w:t>Mit ihren Vorbringen vermag die Beschwerdeführerin die von der Vorinstanz zugesprochene Parteientschädigung nicht als willkürlich auszuweisen. Die Beschwerdeführerin macht zunächst geltend, die Vorinstanz habe nicht berücksichtigt, dass es sich um einen bedeutenden Streitfall handle. Dem ist nicht so, denn die Vorinstanz nahm ausdrücklich auf das Kriterium der "Bedeutung der Streitsache" für die Festsetzung der Parteientschädigung Bezug und legte anschliessend in Würdigung der gesamten Umstände, und damit auch unter Berücksichtigung des erwähnten Kriteriums, die Parteientschädigung fest. Insoweit geht die Rüge der Beschwerdeführerin fehl. Sodann legt die Beschwerdeführerin in ihren Ausführungen nicht dar, zumindest nicht hinreichend, warum es sich bei der vorliegenden Streitsache, abgesehen von der Höhe des Streitwerts, die nach der kantonalen Regelung von § 34 Abs. 3 GSVGer unbestrittenermassen für die Festlegung der Parteientschädigung nicht berücksichtigt wird, um eine bedeutende Streitsache handeln würde. Im Weiteren zeigt die Beschwerdeführerin auch keine Willkür auf, indem sie vorbringt, die Vorinstanz habe die "Schwierigkeit des Prozesses" nicht berücksichtigt bzw. dass es sich vorliegend um eine rechtlich anspruchsvolle Angelegenheit handle. Vorerst ist - wie bereits für das Kriterium der "Bedeutung der Streitsache" - festzuhalten, dass die Vorinstanz ausdrücklich auf das Kriterium der "Schwierigkeit des Prozesses" für die Festsetzung der Parteientschädigung verwies und dies bei der Festsetzung der Parteientschädigung berücksichtigte. Die Rüge, die Vorinstanz habe das Bemessungskriterium der Schwierigkeit des Prozesses nicht berücksichtigt, geht damit fehl. Sodann vermag die Beschwerdeführerin einzig mit dem Vorbringen, dass aufgrund der Ausführungen des Beschwerdegegners umfangreiche Rechtsschriften notwendig geworden seien und es sich daher um eine rechtlich anspruchsvolle Angelegenheit handle, nicht hinreichend darzulegen, dass es offensichtlich unhaltbar sein soll, wenn die Vorinstanz den angemessenen Aufwand im vorliegenden Verfahren auf 28 Stunden festlegte, zumal es schwergewichtig um die Frage der Passivlegitimation ging. Dass die Beschwerdeführerin schliesslich eine Honorarrechnung präsentiert, welche aus ihrer Sicht korrekt wäre, legt nicht dar, inwiefern die zugesprochene Parteientschädigung schlechterdings nicht vertretbar sein sollte. Insbesondere entkräftet sie damit auch das Argument der Vorinstanz nicht hinreichend konkret, wonach der geltend gemachte Aufwand mit Blick auf den praxisgemäss bei vergleichbaren Fällen anerkannten Zeitaufwand deutlich überhöht sei.</w:t>
      </w:r>
    </w:p>
    <w:p>
      <w:r>
        <w:rPr>
          <w:b/>
        </w:rPr>
        <w:t>E. 4</w:t>
      </w:r>
    </w:p>
    <w:p>
      <w:r>
        <w:t>Nach dem Ausgeführten ist die Beschwerde abzuweisen, soweit auf sie eingetreten werden kann.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