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4A_219/2024 vom 2. April 2025</w:t>
      </w:r>
    </w:p>
    <w:p>
      <w:r>
        <w:t>Bundesgericht, 2025-04-02, FR</w:t>
      </w:r>
    </w:p>
    <w:p>
      <w:r>
        <w:rPr>
          <w:b/>
        </w:rPr>
        <w:t xml:space="preserve">Quelle: </w:t>
      </w:r>
      <w:r>
        <w:t>https://mcp.opencaselaw.ch/entscheid/bger_4A_219_2024</w:t>
      </w:r>
    </w:p>
    <w:p>
      <w:r>
        <w:t>FR: TF 4A_219/2024 du 2 avril 2025</w:t>
      </w:r>
    </w:p>
    <w:p>
      <w:r>
        <w:t>IT: TF 4A_219/2024 del 2 aprile 2025</w:t>
      </w:r>
    </w:p>
    <w:p>
      <w:pPr>
        <w:pStyle w:val="Heading2"/>
      </w:pPr>
      <w:r>
        <w:t>Erwägungen</w:t>
      </w:r>
    </w:p>
    <w:p>
      <w:r>
        <w:rPr>
          <w:b/>
        </w:rPr>
        <w:t>E. 1</w:t>
      </w:r>
    </w:p>
    <w:p>
      <w:r>
        <w:t>L'arrêt attaqué est une décision finale ( art. 90 LTF ) rendue en matière civile ( art. 72 LTF ) par un tribunal supérieur désigné comme autorité cantonale de dernière instance, lequel a statué sur appel ( art. 75 LTF ). La cause atteint la valeur litigieuse minimale de 30'000 fr. ouvrant le recours en matière civile ( art. 74 al. 1 let. b LTF ). Le recours a été déposé dans le délai (art. 46 al. 1 let. a et 100 al. 1 LTF) et la forme ( art. 42 LTF ) prévus par la loi.</w:t>
      </w:r>
    </w:p>
    <w:p>
      <w:r>
        <w:t>Les intimées soutiennent que le recours est irrecevable, faute d'intérêt digne de protection du recourant ( art. 76 al. 1 LTF ), puisque le dispositif du jugement de première instance, confirmé par la cour cantonale, ne le concerne pas. Elles ajoutent qu'il est également mentionné que "toutes autres ou plus amples conclusions" sont rejetées, de sorte que le recourant n'a pas non plus été condamné à un quelconque montant au titre de son engagement de porte-fort. Le recourant soutient qu'il a un intérêt évident à la modification de l'arrêt attaqué. Il n'y a pas à examiner en détail ce point, dès lors que le recours doit de toute manière être rejeté, dans la mesure de sa recevabilité (s'agissant de la question du porte-fort, cf.</w:t>
      </w:r>
    </w:p>
    <w:p>
      <w:r>
        <w:t>infra consid. 6).</w:t>
      </w:r>
    </w:p>
    <w:p>
      <w:r>
        <w:rPr>
          <w:b/>
        </w:rPr>
        <w:t>E. 2.1</w:t>
      </w:r>
    </w:p>
    <w:p>
      <w:r>
        <w:t>Le recours en matière civile peut être exercé pour violation du droit fédéral ( art. 95 let. a LTF ).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w:t>
      </w:r>
    </w:p>
    <w:p>
      <w:r>
        <w:rPr>
          <w:b/>
        </w:rPr>
        <w:t>E. 3</w:t>
      </w:r>
    </w:p>
    <w:p>
      <w:r>
        <w:t>Le recourant admet la validité de la cession, de l'intimée 1 en faveur de l'intimée 2, des actions de E.________ SA. En revanche, il conteste que la Convention ait été transférée de la première à la seconde, à tout le moins dans son entier (soit également s'agissant du droit de vente de ces actions prévu à l'art. 3). À titre subsidiaire, il conteste que le droit de vente de l'intimée 2 ait été exercé en temps utile. Encore plus subsidiairement, il nie sa responsabilité à titre de porte-fort.</w:t>
      </w:r>
    </w:p>
    <w:p>
      <w:r>
        <w:rPr>
          <w:b/>
        </w:rPr>
        <w:t>E. 4</w:t>
      </w:r>
    </w:p>
    <w:p>
      <w:r>
        <w:t>Le recourant reproche tout d'abord à la cour cantonale d'avoir admis de manière arbitraire le transfert de la Convention de l'intimée 1 à l'intimée 2, mais, dans tous les cas, un transfert concernant aussi son art. 3 se rapportant au droit de vente des actions. Selon le recourant, cela ne correspondait pas à la réelle et commune intention des parties.</w:t>
      </w:r>
    </w:p>
    <w:p>
      <w:r>
        <w:rPr>
          <w:b/>
        </w:rPr>
        <w:t>E. 4.1</w:t>
      </w:r>
    </w:p>
    <w:p>
      <w:r>
        <w:t>Le transfert de contrat (ou cession ou reprise de contrat) entraîne le transfert de l'intégralité du rapport contractuel avec tous les droits et obligations y relatifs d'une partie contractante à un tiers qui se substitue à celle-ci. Ce transfert de contrat n'est pas expressément réglé dans le code des obligations. Il s'agit d'un contrat</w:t>
      </w:r>
    </w:p>
    <w:p>
      <w:r>
        <w:t>sui generis qui ne répond pas à la simple combinaison d'une cession de créance et d'une reprise de dette. En vertu du principe de la liberté des formes des contrats de l' art. 11 al. 1 CO , le transfert de contrat n'est soumis à aucune forme particulière. L'entrée d'un tiers dans un rapport de droit bilatéral, à la place d'un des cocontractants, ne peut intervenir qu'à la condition qu'il y ait deux accords: l'un entre la partie sortante et la partie reprenante, l'autre entre celle-ci et la partie restante (arrêts 4A_329/2023 du 26 février 2024; 4A_30/2017 du 4 juillet 2017 consid. 4.1; 4A_508/2016 consid. 6.1 non publié in ATF 143 III 348 ).</w:t>
      </w:r>
    </w:p>
    <w:p>
      <w:r>
        <w:t>Pour déterminer si un contrat a été conclu, quels en sont les cocontractants et quel en est le contenu, le juge doit interpréter les manifestations de volonté des parties ( ATF 144 III 93 consid. 5.2; arrêt 4A_420/2024 du 11 février 2025 consid. 5.3.1).</w:t>
      </w:r>
    </w:p>
    <w:p>
      <w:r>
        <w:t>Selon les règles d'interprétation des contrats déduites de l' art. 18 CO , le juge doit tout d'abord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à moins qu'elles ne soient manifestement inexactes ( ATF 144 III 93 consid. 5.2.2 et les références citées).</w:t>
      </w:r>
    </w:p>
    <w:p>
      <w:r>
        <w:t>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que le Tribunal fédéral examine librement ( ATF 144 III 93 consid. 5.2.3 et les références citées).</w:t>
      </w:r>
    </w:p>
    <w:p>
      <w:r>
        <w:rPr>
          <w:b/>
        </w:rPr>
        <w:t>E. 4.2</w:t>
      </w:r>
    </w:p>
    <w:p>
      <w:r>
        <w:t>D'après la cour cantonale, le transfert d'un contrat nécessite l'accord de tous les intéressés, ce qui est le cas en l'occurrence. Elle relève que selon l'art. 2.5 de la Convention, l'intimée 1 s'est engagée, sauf accord écrit de D.________ SA, à ne pas aliéner et à conserver, avant le 1er janvier 2016, un nombre d'actions au moins égal au nombre d'actions sur lesquelles pourra porter le droit d'emption, autrement que dans le cadre d'une IPO (soit une entrée en bourse), d'une cession menant à un changement de contrôle ou d'une cession à un proche de l'intimée 1, à condition que celui-ci reprenne l'intégralité des engagements souscrits par l'intimée 1 dans le cadre de la Convention et que D.________ SA en soit informée préalablement. La cour cantonale explique que le recourant et D.________ SA ne contestaient pas que l'intimée 2 était un proche de l'intimée 1, ni avoir reçu le courriel du 7 janvier 2015 dans lequel cette dernière faisait état de ce transfert d'actions. Ainsi, le transfert du contrat est valablement intervenu en application de l'art. 2.5 de la Convention. Le fait qu'ultérieurement, les appelants aient refusé de signer l'avenant qui leur avait été transmis par courriel du 7 janvier 2015 et que D.________ SA ait à nouveau signifié sa désapprobation au transfert dans un courrier du 20 octobre 2015 n'est pas de nature à modifier la Convention, ni la réalisation des conditions posées à son art. 2.5.</w:t>
      </w:r>
    </w:p>
    <w:p>
      <w:r>
        <w:rPr>
          <w:b/>
        </w:rPr>
        <w:t>E. 4.3</w:t>
      </w:r>
    </w:p>
    <w:p>
      <w:r>
        <w:t>Le recourant allègue en substance que l'art. 2.5 de la Convention n'apparaît que dans le chapitre relatif au droit d'emption, ce qui a été reconnu par les intimées. Selon le recourant, cet article ne s'applique donc pas au droit de vente. Dans tous les cas, il ne permettrait pas un transfert de la Convention dans son entier, soit un transfert complet des droits et des obligations, car il mentionne la reprise des "engagements" de l'intimée 1, notion qui se rapporte aux "obligations", mais ne vise pas les "droits" de celle-ci. L'art. 2.5 de la Convention est muet sur le transfert des droits de l'intimée 1 à son proche en cas de transfert d'actions. Le recourant ajoute encore que ses propres déclarations et celles de D.________ SA montrent clairement leur désapprobation à un éventuel transfert de la Convention. Enfin, l'arrêt cantonal ne tiendrait pas compte de la condition de la forme écrite prévue à l'art. 9.7 de la Convention.</w:t>
      </w:r>
    </w:p>
    <w:p>
      <w:r>
        <w:rPr>
          <w:b/>
        </w:rPr>
        <w:t>E. 4.4</w:t>
      </w:r>
    </w:p>
    <w:p>
      <w:r>
        <w:t>En l'espèce, la cour cantonale est parvenue à constater la volonté réelle des parties, ce que le recourant admet. Il lui incombait ainsi de démontrer que les juges précédents ont sombré dans l'arbitraire en retenant que les parties étaient d'accord sur le transfert de (l'entier de) la Convention. Or, le recourant se limite à opposer sa propre appréciation à celle des juges cantonaux, sans parvenir à démontrer le caractère arbitraire de cette dernière. En particulier, le fait que l'art. 2.5 de la Convention, figurant sous le chapitre concernant le droit d'emption, mentionne uniquement le terme d'"engagements", et non celui de "droits" ne saurait rendre le raisonnement de la cour cantonale insoutenable, tout comme la désapprobation manifestée par la suite par les intéressés. On doit rappeler qu'une autre solution, même préférable, ne ferait pas encore apparaître le raisonnement de la cour cantonale comme arbitraire. S'agissant de la forme écrite, le recourant n'expose pas, références précises à l'appui, avoir déjà soulevé devant l'instance précédente l'argument qu'il tire désormais de l'art. 9.7 de la Convention. Il ne sera ainsi pas entré en matière, faute d'épuisement des griefs.</w:t>
      </w:r>
    </w:p>
    <w:p>
      <w:r>
        <w:t>Dès lors, la cour cantonale n'a pas versé dans l'arbitraire en retenant un accord des parties sur le transfert de la Convention en son entier - et donc aussi concernant le droit de vente prévu à son art. 3 - de l'intimée 1 à l'intimée 2.</w:t>
      </w:r>
    </w:p>
    <w:p>
      <w:r>
        <w:t>À titre subsidiaire, le recourant propose une analyse de la volonté objective des parties. Puisque la cour cantonale a réussi à déterminer leur volonté subjective, il n'y a pas besoin d'examiner ce point.</w:t>
      </w:r>
    </w:p>
    <w:p>
      <w:r>
        <w:rPr>
          <w:b/>
        </w:rPr>
        <w:t>E. 5</w:t>
      </w:r>
    </w:p>
    <w:p>
      <w:r>
        <w:t>Ensuite, le recourant soutient que la cour cantonale a retenu arbitrairement que les situations dans lesquelles le droit de vente des actions pouvait être exercé au sens de l'art. 3.2 de la Convention s'additionnaient et créaient plusieurs droits de vente. Selon le recourant, la réelle et commune intention des parties était de prévoir plusieurs situations exclusives les unes des autres, avec un seul droit de vente. Le recourant en déduit qu'en l'occurrence, la situation de "l'entrée en liquidation" visée à l'art. 3.2.3 était la première à s'être produite et donc la seule pertinente; puisque l'intimée 2 n'avait pas exercé le droit de vente dans le délai prévu à cet article, ce droit était perdu.</w:t>
      </w:r>
    </w:p>
    <w:p>
      <w:r>
        <w:rPr>
          <w:b/>
        </w:rPr>
        <w:t>E. 5.1</w:t>
      </w:r>
    </w:p>
    <w:p>
      <w:r>
        <w:t>La cour cantonale a relevé que d'après l'art. 3.1.1 de la Convention, le droit de vente pouvait être exercé "en cas de survenance de l'une ou l'autre des situations mentionnées à l'art. 3.2". Le texte "l'une ou l'autre" exprimait l'addition et non pas l'exclusion, dès lors que le mot "situation" était au pluriel. En effet, la formulation "l'une ou l'autre situation" seule aurait été employée pour signifier l'exclusion. Par ailleurs, cette interprétation était conforme aux circonstances dans lesquelles la Convention avait été conclue. Le recourant et D.________ SA avaient besoin de l'intimée 1 pour recapitaliser E.________ SA parce qu'ils n'avaient eux-mêmes pas les moyens financiers de le faire. Il apparaissait toutefois que le but était qu'ils puissent conserver la majorité des droits de vote de E.________ SA et donc le contrôle de cette société. Si le but des intimées avait été de prendre le contrôle de celle-ci, on peinait à comprendre pourquoi elles auraient signé une Convention prévoyant un droit d'emption en faveur du recourant et D.________ SA permettant à ces derniers de posséder 50.1% des droits de vote de cette société. En outre, la méthode de calcul du prix était unique et ne changeait pas en fonction des situations dans lesquelles le droit de vente pouvait être exercé. Selon l'art. 3.4.1, le prix d'exercice Put correspondait à une valeur par action de 0.08 euros. L'idée était donc que les intimées s'y retrouvent au final, peu importe la situation financière de E.________ SA. Enfin, la Convention avait été signée les 9 et 11 avril 2011. On pouvait donc penser que l'art. 3.2.3 avait été ajouté pour protéger les intimées au cas où la société déciderait de se mettre en liquidation et de disparaître avant ou après la période prévue à l'art. 3.2.2, soit avant le 1er juillet 2015 ou après le 31 décembre 2015. L'hypothèse de l'art. 3.2.3 était ainsi là pour donner une possibilité supplémentaire aux intimées en cas d'urgence, qu'elles étaient libres d'utiliser ou non, et non pour exclure les autres périodes.</w:t>
      </w:r>
    </w:p>
    <w:p>
      <w:r>
        <w:rPr>
          <w:b/>
        </w:rPr>
        <w:t>E. 5.2</w:t>
      </w:r>
    </w:p>
    <w:p>
      <w:r>
        <w:t>Selon le recourant, la question de l'exclusion ou de l'addition des situations ne doit pas s'apprécier sur la base du pluriel ou du singulier du mot "situation", mais à l'aune de la signification de l'expression "l'une ou l'autre", qui est au singulier. Il se réfère à l'art. 4 al. 1 et 2 de l'ordonnance sur la protection des marques et des indications de provenance (OPM; RS 232.111). Le recourant ajoute, références à l'appui, que la Convention fait état à plusieurs reprises d'"un" droit de vente, que le titre de l'art. 3.2 énonce "une" période d'exercice de ce droit, que l'art. 3.3.1 indique que le droit de vente pourra être exercé "si un des événements prévus à l'art. 3.2" se réalise et que l'art. 3.3.4 fait état d'"un" avis d'exercice Put. Les parties avaient ainsi entendu prévoir un seul droit de vente, avec un seul avis correspondant à une seule période lors de laquelle le droit de vente pouvait être exercé, à une reprise. Par ailleurs, le prix de vente prévu à l'art. 3.4 n'était pas unique au vu du contenu de l'art. 3.4.2 de la Convention. Enfin, le fait que les parties aient voulu offrir la possibilité de vendre les actions en cas d'entrée en liquidation ne remet pas en question le caractère exclusif des situations visées à l'art. 3.2.</w:t>
      </w:r>
    </w:p>
    <w:p>
      <w:r>
        <w:rPr>
          <w:b/>
        </w:rPr>
        <w:t>E. 5.3</w:t>
      </w:r>
    </w:p>
    <w:p>
      <w:r>
        <w:t>Ici encore, le recourant propose son analyse personnelle, sans parvenir à démontrer que la cour cantonale a versé dans l'arbitraire en retenant que la volonté réelle des parties était de prévoir que les situations visées à l'art. 3.2 de la Convention s'additionnaient. En particulier, la formulation de l' art. 4 OPM ne prouve pas que l'interprétation de la cour cantonale de l'expression "l'une ou l'autre des situations" est insoutenable, tout comme le fait que la Convention fasse état, ça et là, d'un droit de vente ou d'une période d'exercice de ce droit. S'agissant de l'argument du prix de vente, le recourant se fonde sur le contenu de l'art. 3.4.2 de la Convention, soit un fait non constaté par la cour cantonale, sans pour autant demander valablement un complètement de l'état de fait. Ce moyen est donc irrecevable. L'art. 3.4.2 n'était d'ailleurs déjà pas constaté dans le jugement de première instance.</w:t>
      </w:r>
    </w:p>
    <w:p>
      <w:r>
        <w:t>Ici aussi, il n'y a pas lieu d'examiner les arguments subsidiaires du recourant quant à l'analyse de la volonté objective des parties.</w:t>
      </w:r>
    </w:p>
    <w:p>
      <w:r>
        <w:t>Il en va de même de son grief lié à l'exercice tardif du droit de vente, fondé sur le fait que les situations prévues à l'art. 3.2 de la Convention sont exclusives les unes des autres, ce qui a été écarté par la cour cantonale, sans arbitraire.</w:t>
      </w:r>
    </w:p>
    <w:p>
      <w:r>
        <w:rPr>
          <w:b/>
        </w:rPr>
        <w:t>E. 6</w:t>
      </w:r>
    </w:p>
    <w:p>
      <w:r>
        <w:t>Pour finir, le recourant soutient que les intimées n'ont pas valablement exercé la promesse de porte-fort et qu'il n'est donc pas tenu de payer le montant de 151'896 euros en application de celle-ci, ce que l'arrêt attaqué a omis d'analyser sans raison.</w:t>
      </w:r>
    </w:p>
    <w:p>
      <w:r>
        <w:rPr>
          <w:b/>
        </w:rPr>
        <w:t>E. 6.1</w:t>
      </w:r>
    </w:p>
    <w:p>
      <w:r>
        <w:t>S'agissant de la promesse de porte-fort, la cour cantonale a relevé que le recourant et D.________ SA soutenaient que celle-ci avait pris fin le 11 avril 2016, puisque l'obligation de D.________ SA d'acheter les actions de E.________ SA n'était jamais née. La cour cantonale a expliqué que cette critique reposait sur la prémisse de l'admission des griefs précédemment traités, lesquels avaient tous été rejetés. Il n'y avait donc pas lieu d'examiner cet argument.</w:t>
      </w:r>
    </w:p>
    <w:p>
      <w:r>
        <w:rPr>
          <w:b/>
        </w:rPr>
        <w:t>E. 6.2</w:t>
      </w:r>
    </w:p>
    <w:p>
      <w:r>
        <w:t>Le recourant allègue désormais que même s'il devait être retenu que l'intimée 2 était titulaire du droit de vente et que celui-ci avait été exercé en temps utile, les intimées n'avaient pas respecté les délais et la forme prévus par la Convention pour l'exercice de la promesse de porte-fort. Or, il ressort de la motivation de la cour cantonale qu'un tel moyen n'a pas été soulevé devant elle, puisque le recourant se limitait à se fonder sur ses précédents arguments. Le recourant ne prétend pas non plus, références précises à l'appui, avoir invoqué un tel moyen dans son appel. Ainsi, il ne saurait reprocher à la cour cantonale de ne pas avoir examiné plus avant la question de la promesse de porte-fort. En outre, le moyen tel que désormais présenté devant le Tribunal fédéral est irrecevable, faute d'épuisement des griefs.</w:t>
      </w:r>
    </w:p>
    <w:p>
      <w:r>
        <w:rPr>
          <w:b/>
        </w:rPr>
        <w:t>E. 7</w:t>
      </w:r>
    </w:p>
    <w:p>
      <w:r>
        <w:t>En définitive, le recours doit être rejeté, dans la mesure où il est recevable.</w:t>
      </w:r>
    </w:p>
    <w:p>
      <w:r>
        <w:t>Le recourant, qui succombe, prendra en charge les frais judiciaires ( art. 66 al. 1 LTF ). Il versera en outre une indemnité de dépens aux intimées, créancières solidaires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