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219/2022 vom 17. Juni 2022</w:t>
      </w:r>
    </w:p>
    <w:p>
      <w:r>
        <w:t>Bundesgericht, 2022-06-17, DE</w:t>
      </w:r>
    </w:p>
    <w:p>
      <w:r>
        <w:rPr>
          <w:b/>
        </w:rPr>
        <w:t xml:space="preserve">Quelle: </w:t>
      </w:r>
      <w:r>
        <w:t>https://mcp.opencaselaw.ch/entscheid/bger_4A_219_2022</w:t>
      </w:r>
    </w:p>
    <w:p>
      <w:r>
        <w:t>FR: TF 4A 219/2022 du 17 juin 2022</w:t>
      </w:r>
    </w:p>
    <w:p>
      <w:r>
        <w:t>IT: TF 4A 219/2022 del 17 giugno 2022</w:t>
      </w:r>
    </w:p>
    <w:p>
      <w:pPr>
        <w:pStyle w:val="Heading2"/>
      </w:pPr>
      <w:r>
        <w:t>Regeste</w:t>
      </w:r>
    </w:p>
    <w:p>
      <w:r>
        <w:t>Forderung aus Mietverhältnis, | Vertragsrecht</w:t>
      </w:r>
    </w:p>
    <w:p>
      <w:pPr>
        <w:pStyle w:val="Heading2"/>
      </w:pPr>
      <w:r>
        <w:t>Erwägungen</w:t>
      </w:r>
    </w:p>
    <w:p>
      <w:r>
        <w:rPr>
          <w:b/>
        </w:rPr>
        <w:t>E. 1</w:t>
      </w:r>
    </w:p>
    <w:p>
      <w:r>
        <w:t>Mit Klage vom 23. Februar 2021 machte die Beschwerdegegnerin beim Amtsgericht Bucheggberg-Wasseramt eine Klage gegen den Beschwerdeführer anhängig. Sie verlangte, dass der Beschwerdeführer die ausstehenden Mietzinsen für Gewerberäumlichkeiten von insgesamt Fr. 40'000.-- zuzüglich aufgelaufener Verfahrens- und Betreibungskosten sowie Zins bezahle. Mit Urteil vom 2. September 2021 wies das Amtsgericht die Klage ab. Die dagegen von der Beschwerdegegnerin erhobene Berufung hiess das Obergericht des Kantons Solothurn mit Urteil vom 19. April 2022 teilweise gut und verpflichtete den Beschwerdeführer, der Beschwerdegegnerin insgesamt Fr. 35'000.-- samt Zins zu bezahlen. Gegen das Urteil des Obergerichts erhebt der Beschwerdeführer mit Eingabe vom 18. Mai 2022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 Begründungsanforderungen erfüllt die Eingabe des Beschwerdeführers offensichtlich nicht. Er würdigt darin im Wesentlichen bloss einzelne Beweismittel anders als die Vorinstanz und bezeichnet die gegenteilige Auffassung der Vorinstanz pauschal als willkürlich. Er geht in seinen frei gehaltenen Ausführungen indessen offensichtlich nicht hinreichend auf die Erwägungen der Vorinstanz ein, noch zeigt er nachvollziehbar auf, inwiefern die Beweiswürdigung der Vorinstanz offensichtlich unrichtig wäre. Auch im Übrigen kritisiert er bloss den Entscheid der Vorinstanz, ohne aber auf die Erwägungen der Vorinstanz hinreichend konkret einzugehen, geschweige denn rechtsgenüglich darzulegen, inwiefern die Vorinstanz seine Rechte verletzt haben soll. Auf die Beschwerde ist somit mangels hinreichender Begründung nicht einzutreten ( Art. 108 Abs. 1 lit. b BGG ).</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