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4A_219/2020 vom 12. März 2021</w:t>
      </w:r>
    </w:p>
    <w:p>
      <w:r>
        <w:t>Bundesgericht, 2021-03-12, FR</w:t>
      </w:r>
    </w:p>
    <w:p>
      <w:r>
        <w:rPr>
          <w:b/>
        </w:rPr>
        <w:t xml:space="preserve">Quelle: </w:t>
      </w:r>
      <w:r>
        <w:t>https://mcp.opencaselaw.ch/entscheid/bger_4A_219_2020</w:t>
      </w:r>
    </w:p>
    <w:p>
      <w:r>
        <w:t>FR: TF 4A_219/2020 du 12 mars 2021</w:t>
      </w:r>
    </w:p>
    <w:p>
      <w:r>
        <w:t>IT: TF 4A_219/2020 del 12 marzo 2021</w:t>
      </w:r>
    </w:p>
    <w:p>
      <w:pPr>
        <w:pStyle w:val="Heading2"/>
      </w:pPr>
      <w:r>
        <w:t>Erwägungen</w:t>
      </w:r>
    </w:p>
    <w:p>
      <w:r>
        <w:rPr>
          <w:b/>
        </w:rPr>
        <w:t>E. 1.1</w:t>
      </w:r>
    </w:p>
    <w:p>
      <w:r>
        <w:t>Interjeté dans le délai de 30 jours ( art. 100 al. 1 LTF ), compte tenu des suspensions de Pâques ( art. 46 al. 1 let. a LTF ) étendues jusqu'au 19 avril 2020 inclus par l'art. 1 al. 1 de l'Ordonnance du Conseil fédéral sur la suspension des délais dans les procédures civiles et administratives pour assurer le maintien de la justice en lien avec le coronavirus [COVID-19; RS 173.110.4], et dirigé contre une décision finale ( art. 90 LTF ) rendue sur appel par le tribunal supérieur du canton de Genève ( art. 75 LTF ), dans une affaire civile ( art. 72 al. 1 LTF ) dont la valeur litigieuse est suffisante tant sous l'angle du droit du bail à loyer que sous l'angle des autres cas ( art. 74 al. 1 LTF ), le recours en matière civile est en principe recevable.</w:t>
      </w:r>
    </w:p>
    <w:p>
      <w:r>
        <w:rPr>
          <w:b/>
        </w:rPr>
        <w:t>E. 1.2</w:t>
      </w:r>
    </w:p>
    <w:p>
      <w:r>
        <w:t>Le chef de conclusions n° 2 du recours est irrecevable. Le tribunal des baux s'était déclaré incompétent pour statuer sur les conclusions en mainlevée des oppositions formées aux commandements de payer qui avaient été notifiés à la recourante, celle-ci ayant son siège dans le canton de Vaud. L'arrêt attaqué ne revient pas sur ce point, faute de grief. Dans la mesure où le chef de conclusions n° 2 ne fait que réitérer cette prétention, sans aucune critique motivée, il est irrecevable.</w:t>
      </w:r>
    </w:p>
    <w:p>
      <w:r>
        <w:t>Il en va de même du chef de conclusions n° 3 de la recourante tendant à ce que tout éventuel montant versé en raison des poursuites intentées contre elle devrait lui être restitué avec intérêts à 5 % l'an. Celui-ci est dénué de toute motivation, de sorte qu'il est irrecevable (à supposer encore que le Tribunal fédéral puisse entrer en matière sur des faits postérieurs au prononcé de l'arrêt cantonal; cf. art. 99 al. 1 LTF ).</w:t>
      </w:r>
    </w:p>
    <w:p>
      <w:r>
        <w:rPr>
          <w:b/>
        </w:rPr>
        <w:t>E. 1.3</w:t>
      </w:r>
    </w:p>
    <w:p>
      <w:r>
        <w:t>L'état de fait a été complété d'office à l'aide du premier jugement ( art. 105 al. 2 LTF ).</w:t>
      </w:r>
    </w:p>
    <w:p>
      <w:r>
        <w:rPr>
          <w:b/>
        </w:rPr>
        <w:t>E. 2.1</w:t>
      </w:r>
    </w:p>
    <w:p>
      <w:r>
        <w:t>Lorsqu'il est 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(Rügeprinzip, principio dell'allegazione; art. 106 al. 2 LTF ), c'est-à-dire démontrer par une argumentation précise en quoi consiste la violation ( ATF 133 III 393 consid. 7.1, 638 consid. 2). Pour chaque constatation de fait incriminée, il doit démontrer comment les preuves administrées auraient dû, selon lui, être correctement appréciées et en quoi leur appréciation par l'autorité cantonale est insoutenable.</w:t>
      </w:r>
    </w:p>
    <w:p>
      <w:r>
        <w:t>S'il entend obtenir le complètement de l'état de fait, parce qu'un fait omis est juridiquement pertinent, le recourant doit démontrer qu'en vertu des règles de la procédure civile, l'autorité précédente aurait objectivement pu en tenir compte et, pour ce faire, il doit désigner précisément les allégués et les offres de preuves qu'il lui avait présentés, avec référence aux pièces du dossier ( art. 106 al. 2 LTF ; ATF 140 III 86 consid. 2).</w:t>
      </w:r>
    </w:p>
    <w:p>
      <w:r>
        <w:rPr>
          <w:b/>
        </w:rPr>
        <w:t>E. 2.2</w:t>
      </w:r>
    </w:p>
    <w:p>
      <w:r>
        <w:t>Le Tribunal fédéral applique d'office le droit ( art. 106 al. 1 LTF ) à l'état de fait constaté dans l'arrêt cantonal (ou à l'état de fait qu'il aura rectifié ou complété après examen des griefs du recours). Cela ne signifie pas que le Tribunal fédéral examine, comme le ferait un juge de première instance, toutes les questions juridiques qui pourraient se poser. Compte tenu de l'obligation de motiver (Begründungspflicht; obbligo di motivare) imposée par l' art. 42 al. 2 LTF , il ne traite que les questions qui sont soulevées devant lui par les parties. Celles-ci peuvent toujours soulever de nouveaux moyens de droit matériel, pour autant que l'argumentation juridique nouvelle repose sur les constatations de fait de l'arrêt attaqué, et non sur des faits nouveaux (arrêts 4A_28/2007 du 30 mai 2007 consid. 1.3 non publié in ATF 133 III 421 ; 4A_188/2007 du 13 septembre 2007 consid. 4.3.5; 4A_223/2007 du 30 août 2007 consid. 3.2). Elles ne peuvent par contre s'en prendre qu'à elles-mêmes si elles abandonnent un grief ( ATF 140 III 86 consid. 2; arrêts 5F_1/2014 du 18 février 2014 consid. 3.3 et 4A_132/2014 du 2 juin 2014 consid. 1). Le Tribunal fédéral n'examine donc que les questions qui sont discutées devant lui, à moins que la violation du droit ne soit manifeste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En ce qui concerne la violation des droits fondamentaux et, de manière générale, des droits constitutionnels ( ATF 133 III 638 consid. 2) ainsi que du droit cantonal, le Tribunal fédéral n'en connaît que si le grief a été soulevé et motivé ( art. 106 al. 2 LTF ; ATF 134 I 83 consid. 3.2; 133 II 249 consid. 1.4.2); si le recourant se plaint de la violation de tels droits, il doit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3</w:t>
      </w:r>
    </w:p>
    <w:p>
      <w:r>
        <w:t>Lorsque, comme en l'espèce, il est admis que le contrat de partenariat et les contrats de sous-location sont interdépendants, l'on se trouveen présence de plusieurs contrats liés entre eux.</w:t>
      </w:r>
    </w:p>
    <w:p>
      <w:r>
        <w:rPr>
          <w:b/>
        </w:rPr>
        <w:t>E. 3.1</w:t>
      </w:r>
    </w:p>
    <w:p>
      <w:r>
        <w:t>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(gemischter Vertrag) ou d'un contrat composé (ou complexe ou couplé; zusammengesetzter Vertrag), qui doit être appréhendé comme un seul et unique accord. On parle de contrat composé lorsque la convention réunit plusieurs contrats distincts, mais dépendants entre eux. Il y a contrat mixte lorsqu'une seule convention comprend des éléments relevant de plusieurs contrats nommés ( ATF 131 III 528 consid. 7; arrêts 4A_129/2017 du 11 juin 2017 consid. 5; 4A_335/2018 du 9 mai 2019 consid. 4; et les arrêts qui y sont cités).</w:t>
      </w:r>
    </w:p>
    <w:p>
      <w:r>
        <w:t>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cf. les mêmes arrêts).</w:t>
      </w:r>
    </w:p>
    <w:p>
      <w:r>
        <w:t>Cela signifie que les différentes questions à résoudre doivent être régies par les normes légales ou les principes juridiques qui sont adaptés à chacune d'elles; chaque question - par exemple la résiliation du contrat - doit être toutefois soumise aux dispositions légales d'un seul et même contrat; en effet, vu la dépendance réciproque des différents éléments du contrat mixte ou composé, il n'est pas possible que la même question soit réglée de manière différente pour chacun d'eux (cf. les mêmes arrêts).</w:t>
      </w:r>
    </w:p>
    <w:p>
      <w:r>
        <w:t>Pour déterminer quelles règles légales sont applicables à chacune des questions litigieuses,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(cf. les mêmes arrêts).</w:t>
      </w:r>
    </w:p>
    <w:p>
      <w:r>
        <w:rPr>
          <w:b/>
        </w:rPr>
        <w:t>E. 3.2</w:t>
      </w:r>
    </w:p>
    <w:p>
      <w:r>
        <w:t>La cour cantonale s'est limitée à examiner la résolution des contrats [de sous-location] sur la base de l' art. 258 al. 1 CO , puis, alors même qu'elle admettait que la caducité du contrat de partenariat pouvait entraîner la caducité des contrats de sous-location, elle a écarté cette possibilité, parce que la partenaire sous-locataire avait déclaré résoudre les contrats et que celle-ci commettait un abus de droit à invoquer la caducité dans la présente procédure.</w:t>
      </w:r>
    </w:p>
    <w:p>
      <w:r>
        <w:t>Ce faisant, la cour cantonale n'a pas recherché le centre de gravité du contrat composé pour déterminer quelles étaient les règles les plus adaptées à la question de la fin de la relation contractuelle de partenariat/sous-bail liant les parties, respectivement à celles des créances respectives que les parties ont fondées sur l'un ou l'autre.</w:t>
      </w:r>
    </w:p>
    <w:p>
      <w:r>
        <w:t>Un tel mode de procéder constitue une violation du droit fédéral.</w:t>
      </w:r>
    </w:p>
    <w:p>
      <w:r>
        <w:rPr>
          <w:b/>
        </w:rPr>
        <w:t>E. 3.3</w:t>
      </w:r>
    </w:p>
    <w:p>
      <w:r>
        <w:t>Le Tribunal fédéral peut toutefois se dispenser de renvoyer la cause à la cour cantonale. En effet, même si, s'agissant de la question de la fin de la relation contractuelle, le centre de gravité du contrat composé se trouve du côté du contrat de partenariat par lequel les parties voulaient collaborer pour une longue durée et pour lequel la partenaire devait consentir des investissements importants, à la fois par le paiement d'un droit d'entrée de 250'000 fr. et des travaux d'aménagement, et non du côté du contrat de bail, comme l'a retenu la cour cantonale, ce sont les mêmes dispositions générales des art. 107 à 109 CO relatives à l'inexécution des obligations, plus spécialement aux effets de la demeure, qui sont applicables et que la cour cantonale a appliquées par renvoi de l' art. 258 al. 1 CO .</w:t>
      </w:r>
    </w:p>
    <w:p>
      <w:r>
        <w:t>La question de savoir si la cause relevait bien de la juridiction des baux à loyer peut demeurer indécise dès lors que cette question relève du droit d'organisation judiciaire cantonal ( art. 4 CPC ) et n'exerce aucune influence sur la compétence fonctionnelle du Tribunal fédéral en tant qu'autorité de recours contre un arrêt rendu sur appel par l'autorité cantonale supérieure dans une affaire civile ( art. 72 al. 1 LTF ).</w:t>
      </w:r>
    </w:p>
    <w:p>
      <w:r>
        <w:rPr>
          <w:b/>
        </w:rPr>
        <w:t>E. 4</w:t>
      </w:r>
    </w:p>
    <w:p>
      <w:r>
        <w:t>Pour statuer sur la validité de la résolution des trois contrats constituant le contrat composé, qui a été notifiée par la partenaire sous-locataire le 20 septembre 2016, il s'impose d'examiner le comportement respectif des parties.</w:t>
      </w:r>
    </w:p>
    <w:p>
      <w:r>
        <w:rPr>
          <w:b/>
        </w:rPr>
        <w:t>E. 4.1</w:t>
      </w:r>
    </w:p>
    <w:p>
      <w:r>
        <w:t>Selon l' art. 107 al. 1 CO , lorsque, dans un contrat bilatéral (i.e. synallagmatique), l'une des parties est en demeure, l'autre peut lui fixer un délai convenable pour s'exécuter. Cette demeure dite qualifiée suppose une interpellation (ou sommation), par laquelle le créancier invite le débiteur à exécuter sa prestation, et la fixation d'un délai déterminé convenable pour cette exécution. Selon la jurisprudence, l'exigence de toute interpellation a pour but d'épargner au débiteur un traitement trop rigoureux, lorsqu'il ignore l'époque de l'exécution ou que cette époque est indéterminée; font exception le cas où l'échéance a été fixée conventionnellement et les autres cas dans lesquels il serait inéquitable que la demeure fût subordonnée à une interpellation, comme dans l'hypothèse où il est clair qu'en dépit de l'interpellation, le débiteur ne s'exécutera pas ( ATF 97 II 58 consid. 5 p. 64). Quant à l'exigence de fixer un délai convenable au débiteur, le créancier en est dispensé dans les hypothèses de l' art. 108 CO ; tel est le cas notamment lorsqu'il ressort de l'attitude du débiteur que cette mesure serait sans effet ( art. 108 ch. 1 CO ). Autrement dit, lorsqu'il est clair que le débiteur ne s'exécutera pas, ni ne le fera dans le délai, le créancier est dispensé de l'interpeller et de lui fixer un délai convenable et peut exercer le droit d'option que lui confère l' art. 107 al. 2 CO , en particulier déclarer résoudre le contrat et demander la réparation de l'intérêt négatif.</w:t>
      </w:r>
    </w:p>
    <w:p>
      <w:r>
        <w:rPr>
          <w:b/>
        </w:rPr>
        <w:t>E. 4.2</w:t>
      </w:r>
    </w:p>
    <w:p>
      <w:r>
        <w:t>Dans un contrat complexe comme le présent contrat, pour apprécier si le débiteur est en demeure qualifiée au sens des art. 107 al. 1 et 108 ch. 1 CO , il faut tenir compte de l'ensemble des obligations du débiteur eu égard à l'interdépendance des trois contrats et, en particulier, en ayant en vue la collaboration envisagée par les parties visant à créer une synergie entre elles et fournir dans les locaux un plateau technique médico-esthétique à leurs clientèles respectives. N'ayant examiné la question que sous l'angle du bail et de la demeure de la partenaire locataire dans la remise des locaux loués à la partenaire sous-locataire, on peut se demander si la cour cantonale a appliqué correctement ces dispositions légales.</w:t>
      </w:r>
    </w:p>
    <w:p>
      <w:r>
        <w:t>Dès lors que les parties ne rediscutent, de manière suffisamment motivée, que la demeure de la partenaire locataire dans la remise de la possession des locaux à la partenaire sous-locataire, il n'y a pas lieu de renvoyer la cause à la cour cantonale pour élargir le débat aux autres obligations à ce contrat complexe (cf. consid. 2.2 ci-dessus). Quant à savoir si la partenaire sous-locataire était elle-même en demeure au moment de la résolution des contrats, la partenaire locataire intimée relève que la cour cantonale n'a pas raisonné avec l' art. 82 CO . Elle se limite à affirmer que la partenaire sous-locataire avait été relancée à de nombreuses reprises pour qu'elle règle notamment les deux tranches du droit d'entrée, ce dont elle déduit qu'elle-même ne pouvait être en demeure lorsqu'elle a changé les cylindres. Elle ne démontre toutefois pas, avec référence à ses écritures de première instance, offres de preuve à l'appui, avoir invoqué et établi la demeure de sa partenaire sous-locataire pour ce motif au regard de la clause IX ch. 3 du contrat de partenariat sur le non-respect des délais (cf. consid. 2.1 ci-dessus).</w:t>
      </w:r>
    </w:p>
    <w:p>
      <w:r>
        <w:rPr>
          <w:b/>
        </w:rPr>
        <w:t>E. 4.3</w:t>
      </w:r>
    </w:p>
    <w:p>
      <w:r>
        <w:t>Il y a donc lieu d'examiner si la partenaire locataire était en demeure dans la mise à disposition des locaux lors de la résolution des contrats le 20 septembre 2016.</w:t>
      </w:r>
    </w:p>
    <w:p>
      <w:r>
        <w:rPr>
          <w:b/>
        </w:rPr>
        <w:t>E. 4.3.1</w:t>
      </w:r>
    </w:p>
    <w:p>
      <w:r>
        <w:t>La question de savoir si les faits constatés au sujet de la demeure satisfont à la condition de la demeure qualifiée, au sens de l' art. 108 ch. 1 CO , relève du droit, ce que le Tribunal fédéral examine librement ( art. 106 al. 1 LTF ).</w:t>
      </w:r>
    </w:p>
    <w:p>
      <w:r>
        <w:t>Relève également du droit, et donc d'un examen libre par le Tribunal fédéral ( art. 106 al. 1 LTF ), la question de savoir quel sens il y a lieu d'attribuer aux conclusions et aux déclarations des parties dans leurs actes judiciaires. En effet, selon la jurisprudence, ces actes et les autres déclarations des parties étant des manifestations de volonté faites dans le procès, adressées tant au juge qu'à la partie adverse, il y a lieu de les interpréter objectivement, soit selon le sens que, d'après les règles de la bonne foi, les destinataires pouvaient et devaient raisonnablement leur prêter (principe de la confiance; ATF 105 II 149 consid. 2a p. 152; arrêt 4A_66/2016 du 22 août 2016 consid. 4.1.2). Il faut donc rechercher le sens des déclarations de volonté unilatérales d'une partie telles qu'elles pouvaient être comprises de bonne foi en fonction de l'ensemble des circonstances. Le principe de la confiance permet d'imputer à une partie le sens objectif de sa déclaration ou de son comportement, même si celui-ci ne correspond pas à sa volonté intime ( ATF 144 III 93 consid. 5.2.2 p. 99; 130 III 417 consid. 3.2 p. 424; 129 III 118 consid. 2.5 p. 122; 128 III 419 consid. 2.2 p. 422).</w:t>
      </w:r>
    </w:p>
    <w:p>
      <w:r>
        <w:rPr>
          <w:b/>
        </w:rPr>
        <w:t>E. 4.3.2</w:t>
      </w:r>
    </w:p>
    <w:p>
      <w:r>
        <w:t>Contrairement à ce que soutient l'intimée, qui conclut à l'irrecevabilité du recours faute de motivation, la recourante a suffisamment critiqué la motivation cantonale au sujet de l'absence de demeure de la partenaire locataire (du fait du changement des cylindres et du dépôt d'un appel contre la décision de mesures provisionnelles) pour que le Tribunal fédéral puisse entrer en matière sur cette question de droit.</w:t>
      </w:r>
    </w:p>
    <w:p>
      <w:r>
        <w:rPr>
          <w:b/>
        </w:rPr>
        <w:t>E. 4.3.3</w:t>
      </w:r>
    </w:p>
    <w:p>
      <w:r>
        <w:t>Après que la partenaire locataire a changé les cylindres des serrures, ce dont la partenaire sous-locataire s'est plainte le 19 août 2016, celle-ci a mis celle-là en demeure de lui remettre les locaux à disposition en formant une requête de mesures provisionnelles; à ce stade, la partenaire sous-locataire souhaitait donc poursuivre les contrats.</w:t>
      </w:r>
    </w:p>
    <w:p>
      <w:r>
        <w:t>La partenaire locataire s'est, dans un premier temps, exécutée en déférant à l'ordonnance du juge qui lui ordonnait de restituer immédiatement la possession exclusive des locaux, sous la menace des peines de l' art. 292 CP : elle a réinstallé les anciens cylindres des serrures le 5 septembre 2016, ce dont elle a informé la partenaire sous-locataire par fax. Il n'est guère contestable que la partenaire sous-locataire ait donc disposé des locaux à compter de cette dernière date, contrairement à ce que la recourante sous-locataire soutient dans une motivation alambiquée.</w:t>
      </w:r>
    </w:p>
    <w:p>
      <w:r>
        <w:rPr>
          <w:b/>
        </w:rPr>
        <w:t>E. 4.3.4</w:t>
      </w:r>
    </w:p>
    <w:p>
      <w:r>
        <w:t>Mais, dans un second temps, comme l'a constaté la cour cantonale, la partenaire locataire a déposé un appel contre cette ordonnance le 14 septembre 2016, ce qui a conduit la partenaire sous-locataire à résoudre les contrats le 20 septembre 2016 en se prévalant de l' art. 107 al. 2 CO , et à solliciter la réparation de son dommage.</w:t>
      </w:r>
    </w:p>
    <w:p>
      <w:r>
        <w:rPr>
          <w:b/>
        </w:rPr>
        <w:t>E. 4.3.4.1</w:t>
      </w:r>
    </w:p>
    <w:p>
      <w:r>
        <w:t>La cour cantonale a considéré qu'il ressortait de la correspondance échangée entre les parties et de la procédure de mesures provisionnelles visant à la restitution de la possession des locaux sous-loués, que la partenaire locataire souhaitait la continuation du rapport contractuel; selon elle, indépendamment des motifs invoqués à l'appui de l'appel, le seul dépôt de celui-ci ne permettait dès lors pas de justifier une résolution des contrats, la partenaire locataire pouvant faire valoir ses droits en justice, par les voies de recours offertes.</w:t>
      </w:r>
    </w:p>
    <w:p>
      <w:r>
        <w:rPr>
          <w:b/>
        </w:rPr>
        <w:t>E. 4.3.4.2</w:t>
      </w:r>
    </w:p>
    <w:p>
      <w:r>
        <w:t>Ce faisant, la cour cantonale n'a pas procédé à l'interprétation objective, selon la bonne foi, de ce comportement de la partenaire locataire, lequel lui est imputable même s'il ne correspond pas à sa volonté interne. Ce qui est décisif à cet égard, c'est la façon dont tout destinataire peut, de bonne foi, comprendre l'appel par lequel la partenaire locataire s'oppose à la restitution de la possession des locaux à la partenaire sous-locataire. Or, du dépôt de l'appel, on déduit sans équivoque que la partenaire locataire n'entendait pas laisser les locaux à la disposition de la partenaire sous-locataire. Comme le soutient celle-ci, la partenaire locataire a persisté par cet acte à déclarer se refuser à honorer sa prestation essentielle et c'est sur la base de cette déclaration qu'elle a préféré renoncer à poursuivre la collaboration à peine initiée et a déclaré résoudre les contrats.</w:t>
      </w:r>
    </w:p>
    <w:p>
      <w:r>
        <w:t>Lorsque la cour cantonale retient que la partenaire locataire "souhaitait la continuation du rapport contractuel ", malgré l'appel interjeté, soit elle se base sur sa volonté subjective, qui n'est pas décisive, soit elle cautionne une attitude contradictoire de la partenaire locataire, qui ne peut en effet pas s'opposer à la remise de la chose louée et en même temps vouloir le maintien du contrat. C'est à tort que la cour cantonale ne voit dans l'appel que l'exercice d'un droit légitime de la partenaire locataire, soit celui de faire valoir ses droits en justice par les voies de recours offertes par la loi. Cet appel est aussi une manifestation de volonté à l'égard de sa partie adverse, un refus de s'exécuter, qui remet en cause la collaboration prévue et justifie la résolution du contrat composé. De ce point de vue, et donc pour l'avenir de la collaboration, il importe peu que la réinstallation des cylindres ait été effective à ce moment puisque la partenaire locataire entendait en obtenir la révocation.</w:t>
      </w:r>
    </w:p>
    <w:p>
      <w:r>
        <w:t>Contrairement à ce que soutient l'intimée, l'appréciation juridique à donner à l'appel ne saurait rester indécise; la critique de la recourante ne porte pas sur une question de fait, contrairement à ce que croit l'intimée. Le refus de la partenaire locataire de s'exécuter ainsi manifesté le 14 septembre 2016 et reçu quelques jours plus tard dispensait la partenaire sous-locataire de lui notifier une nouvelle interpellation entre le 14 et le 20 septembre 2016. Le reproche que la partenaire sous-locataire aurait résilié les contrats par convenance personnelle ne trouve aucun appui dans l'état de fait, ce d'autant moins que celle-ci avait déjà entrepris des travaux dans les locaux. Il n'y a pas non plus lieu de renvoyer la cause à la cour cantonale pour qu'elle constate en fait les raisons pour lesquelles l'appel a été déposé (selon l'intimée, pour violation de la condition du préjudice difficilement réparable de l' art. 261 al. 1 let. b CPC ) dès lors qu'il s'agit de procéder à une interprétation objective du comportement de la partenaire locataire.</w:t>
      </w:r>
    </w:p>
    <w:p>
      <w:r>
        <w:rPr>
          <w:b/>
        </w:rPr>
        <w:t>E. 4.3.5</w:t>
      </w:r>
    </w:p>
    <w:p>
      <w:r>
        <w:t>En résumé, par l'introduction de cet appel le 14 septembre 2016, la partenaire locataire remettait en cause la collaboration même à laquelle elle s'était engagée par le contrat de partenariat et les deux contrats de sous-location, collaboration (sereine) qui ne se conçoit guère par procès interposés. La partenaire locataire était ainsi en demeure qualifiée, au sens des art. 107 al. 1 et 108 ch. 1 CO , du fait du dépôt de cet acte procédural, de sorte que la partenaire sous-locataire était en droit de résoudre le contrat composé le 20 septembre 2016, en vertu de l' art. 107 al. 2 CO .</w:t>
      </w:r>
    </w:p>
    <w:p>
      <w:r>
        <w:rPr>
          <w:b/>
        </w:rPr>
        <w:t>E. 5</w:t>
      </w:r>
    </w:p>
    <w:p>
      <w:r>
        <w:t>La résolution des contrats par la partenaire sous-locataire le 20 septembre 2016 étant valable, les conséquences pécuniaires tirées par la cour cantonale en faveur de la partenaire locataire sont dénuées de fondement.</w:t>
      </w:r>
    </w:p>
    <w:p>
      <w:r>
        <w:rPr>
          <w:b/>
        </w:rPr>
        <w:t>E. 5.1</w:t>
      </w:r>
    </w:p>
    <w:p>
      <w:r>
        <w:t>Ainsi, la partenaire sous-locataire ne saurait être condamnée à payer les deux tranches de 125'000 fr. chacune avec intérêts dues sur la base du contrat de partenariat.</w:t>
      </w:r>
    </w:p>
    <w:p>
      <w:r>
        <w:t>Il est donc superflu de se prononcer sur la clause de " caducité " selon laquelle le défaut de paiement du droit d'entrée, respectivement en temps utile, avait pour effet de rendre la convention de partenariat caduque, ni non plus sur le but dans lequel devait être utilisé ce montant.</w:t>
      </w:r>
    </w:p>
    <w:p>
      <w:r>
        <w:t>Il est inutile de se prononcer sur le grief d'enrichissement illégitime et, subsidiairement, l'adaptation du contrat en vertu de la</w:t>
      </w:r>
    </w:p>
    <w:p>
      <w:r>
        <w:t>clausula rebus sic stantibus .</w:t>
      </w:r>
    </w:p>
    <w:p>
      <w:r>
        <w:t>La partenaire locataire ne fait que mentionner, dans un autre contexte, soit pour s'opposer à la prétention en dommages-intérêts négatifs (pour les travaux effectués dans les locaux loués; cf. consid. 6.1 ci-dessous), l'éventuelle indemnité pénale de 125'000 fr. prévue par l'art. IX point 3 du contrat de partenariat. Faute de motivation, avec indication des allégués et offres de preuves que la partenaire locataire aurait présentés devant le tribunal, il n'y a pas lieu d'entrer en matière sur ce point.</w:t>
      </w:r>
    </w:p>
    <w:p>
      <w:r>
        <w:rPr>
          <w:b/>
        </w:rPr>
        <w:t>E. 5.2</w:t>
      </w:r>
    </w:p>
    <w:p>
      <w:r>
        <w:t>La résolution des contrats étant admise, il n'y a pas eu de restitution anticipée des locaux et, partant, la partenaire sous-locataire ne doit pas être condamnée à payer les loyers et charges du 6 septembre 2016 au 31 décembre 2017.</w:t>
      </w:r>
    </w:p>
    <w:p>
      <w:r>
        <w:rPr>
          <w:b/>
        </w:rPr>
        <w:t>E. 6</w:t>
      </w:r>
    </w:p>
    <w:p>
      <w:r>
        <w:t>Quant aux conclusions en paiement de dommages-intérêts négatifs (de 131'818 fr. 95) et de dommages-intérêts positifs (de 327'675 fr. avec intérêts), rejetées par la cour cantonale et que la partenaire sous-locataire recourante reprend dans son recours, elles sont irrecevables pour les motifs qui suivent.</w:t>
      </w:r>
    </w:p>
    <w:p>
      <w:r>
        <w:rPr>
          <w:b/>
        </w:rPr>
        <w:t>E. 6.1</w:t>
      </w:r>
    </w:p>
    <w:p>
      <w:r>
        <w:t>En ce qui concerne les dommages-intérêts négatifs, à l'appui desquels la recourante invoquait l' art. 107 al. 2 CO , la cour cantonale les a refusés puisqu'elle n'a retenu ni la résolution des contrats, ni leur caducité.</w:t>
      </w:r>
    </w:p>
    <w:p>
      <w:r>
        <w:t>Dans son présent recours, à l'appui de son chef de conclusions n° 4, la recourante se limite à invoquer qu'elle a démontré avoir subi un dommage par la production de pièces et l'audition de témoins, qu'elle avait entamé des travaux, payé des entreprises et acheté du mobilier en vue de son entrée dans les locaux, en se référant à la page 12 de l'arrêt attaqué.</w:t>
      </w:r>
    </w:p>
    <w:p>
      <w:r>
        <w:t>Ce faisant, elle n'indique pas où elle aurait allégué dans ses écritures de première instance et d'appel les faits justifiant sa prétention, ni les moyens de preuve qu'elle aurait offerts pour les établir. On ne trouve aucune indication dans ce sens dans la référence donnée à l'arrêt attaqué. Lorsque, dans ses observations, elle se prévaut du fait qu'il n'y a pas de règle imposant l'épuisement des griefs, elle méconnaît que, lorsque l'état de fait de l'arrêt cantonal est incomplet, le recourant doit, pour obtenir son complètement, satisfaire aux exigences de l' art. 106 al. 2 LTF : il doit démontrer, par des renvois précis aux pièces du dossier, qu'il a présenté aux autorités précédentes, en conformité avec les règles de la procédure civile, les faits juridiquement pertinents à cet égard et les moyens de preuve adéquats; si la critique ne satisfait pas à ces exigences, ses allégations ne pourront pas être prises en considération (cf. consid. 2.1 in fine ci-dessus).</w:t>
      </w:r>
    </w:p>
    <w:p>
      <w:r>
        <w:t>Il s'ensuit que, faute de satisfaire à ces exigences, la Cour de céans peut renoncer à renvoyer la cause à la cour cantonale pour compléter l'état de fait et statuer sur cette prétention.</w:t>
      </w:r>
    </w:p>
    <w:p>
      <w:r>
        <w:rPr>
          <w:b/>
        </w:rPr>
        <w:t>E. 6.2</w:t>
      </w:r>
    </w:p>
    <w:p>
      <w:r>
        <w:t>Il en va de même pour la prétention en dommages-intérêts positifs, que la recourante invoque à titre subsidiaire. Dans son présent recours, elle se limite à invoquer qu'elle a le droit de solliciter un dédommagement en lien avec l'inexécution par sa partie adverse, soit des dommages-intérêts positifs tels que le gain manqué, qu'elle chiffre au montant de 327'675 fr. sans plus ample précision.</w:t>
      </w:r>
    </w:p>
    <w:p>
      <w:r>
        <w:rPr>
          <w:b/>
        </w:rPr>
        <w:t>E. 7</w:t>
      </w:r>
    </w:p>
    <w:p>
      <w:r>
        <w:t>Au vu de ce qui précède, le recours doit être partiellement admis et l'arrêt attaqué partiellement réformé en ce sens que la demande est partiellement admise en son premier point (1) et qu'il est constaté que la demanderesse n'est débitrice d'aucun montant envers la défenderesse et que la demande reconventionnelle est entièrement rejetée. Il se justifie de répartir les frais judiciaires de la procédure fédérale à raison de 1/4 à charge de la recourante et de 3/4 à la charge de l'intimée ( art. 66 al. 1 LTF ). L'intimée versera une indemnité de dépens réduits à la recourante ( art. 68 al. 1-2 LTF ). Il n'y a pas lieu de renvoyer la cause à la cour cantonale pour nouvelle fixation des frais et dépens des instances cantonales, le droit genevois dispensant les parties de l'obligation de payer des frais judiciaires et de verser des dépens dans les causes soumises à la juridiction des baux et loyers (art. 22 al. 1 LaCC/GE; ATF 139 III 182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