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4A_219/2015 vom 8. September 2015</w:t>
      </w:r>
    </w:p>
    <w:p>
      <w:r>
        <w:t>Bundesgericht, 2015-09-08, DE</w:t>
      </w:r>
    </w:p>
    <w:p>
      <w:r>
        <w:rPr>
          <w:b/>
        </w:rPr>
        <w:t xml:space="preserve">Quelle: </w:t>
      </w:r>
      <w:r>
        <w:t>https://mcp.opencaselaw.ch/entscheid/bger_4A_219_2015</w:t>
      </w:r>
    </w:p>
    <w:p>
      <w:r>
        <w:t>FR: TF 4A_219/2015 du 8 septembre 2015</w:t>
      </w:r>
    </w:p>
    <w:p>
      <w:r>
        <w:t>IT: TF 4A_219/2015 del 8 settembre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Der Beschwerdeführer ist mit seinen Begehren unterlegen ( Art. 76 BGG ) und die Beschwerde ist innert der Beschwerdefrist eingereicht worden ( Art. 100 Abs. 1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ohnehin nicht selbst in der Sache entscheiden könnte ( BGE 136 V 131 E. 1.2; 134 III 379 E. 1.3 S. 383; 133 III 489 E. 3.1).</w:t>
      </w:r>
    </w:p>
    <w:p>
      <w:r>
        <w:t>Da das Bundesgericht nicht selbst über die Klage entscheiden könnte, sollte es die Rechtsauffassung des Beschwerdeführers teilen, sondern die Sache zur weiteren Abklärung der tatsächlichen Grundlagen der strittigen Verantwortlichkeitsansprüche an die Vor- oder die Erstinstanz zurückweisen müsste, genügt der Rückweisungsantrag des Beschwerdeführers. Da auch die übrigen Sachurteilsvoraussetzungen erfüllt sind, ist auf die Beschwerde in Zivilsachen unter Vorbehalt einer hinreichenden Begründung ( Art. 42 Abs. 2 und Art. 106 Abs. 2 BGG ) einzutreten.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1.5</w:t>
      </w:r>
    </w:p>
    <w:p>
      <w:r>
        <w:t>Der Beschwerdeführer stützt sich teilweise in unzulässiger Weise auf Sachverhaltselemente, die sich nicht aus dem angefochtenen Entscheid ergeben. So behauptet er vor Bundesgericht etwa erstmals, die G.________ AG habe im Sommer 2013 die Marke "F.________" übernommen. Darauf ist nicht einzutreten ( Art. 99 Abs. 1 BGG ); abgesehen davon lässt sich seinen Ausführungen nicht entnehmen, welcher Anspruch sich daraus ableiten soll.</w:t>
      </w:r>
    </w:p>
    <w:p>
      <w:r>
        <w:t>Zudem wirft er der Vorinstanz, soweit sie auf den Sonderprüfungsbericht vom 9. April 2009 abstellte, eine unvollständige und falsche Sachverhaltsfeststellung vor, zeigt jedoch weder Willkür ( Art. 9 BV ) bei der Sachverhaltsermittlung noch eine Rechtsverletzung im Sinne von Art. 95 BGG auf.</w:t>
      </w:r>
    </w:p>
    <w:p>
      <w:r>
        <w:t>Der Beschwerdeführer erhebt ausserdem keine hinreichende Verfassungsrüge (vgl. Art. 106 Abs. 2 BGG ), wenn er der Vorinstanz ohne weitere Begründung vorwirft, sie habe sich mit verschiedenen seiner Vorbringen und Argumente nicht auseinandergesetzt. Insbesondere legt er in keiner Weise dar, inwiefern ihm die Begründung des angefochtenen Entscheids verunmöglicht hätte, diesen sachgerecht anzufechten (vgl. BGE 136 I 184 E. 2.2.1 S. 188 ; 134 I 83 E. 4.1 S. 88; 133 III 439 E. 3.3 S. 445; je mit Hinweisen). Dem Beschwerdeführer ist es unbenommen, vor Bundesgericht zu rügen, dass die Vorinstanz einzelne seiner Vorbringen zu Unrecht als unerheblich erachtet und damit Bundesrecht verletzt hat, wovon er im Beschwerdeverfahren auch Gebrauch macht. Inwiefern eine willkürliche vorweggenommene Beweiswürdigung durch die Vorinstanz vorliegen würde, zeigt er mit seinen Ausführungen nicht auf. Er verkennt zudem, dass Art. 53 OR den Zivilrichter nicht daran hindert, die Beweisergebnisse der Strafuntersuchung abzuwarten und bei seinem Entscheid mitzuberücksichtigen ( BGE 125 III 401 E. 3 S. 411; vgl. auch Urteile 4A_533/2013 vom 27. März 2014 E. 3.3; 4A_319/2012 vom 28. Januar 2013 E. 4.1; 4C.74/2000 vom 16. August 2001 E. 1).</w:t>
      </w:r>
    </w:p>
    <w:p>
      <w:r>
        <w:t>Vereinzelt wird aus seinen Ausführungen nicht klar, inwiefern das von der Vorinstanz angeblich zu Unrecht nicht festgestellte Sachverhaltselement für den Ausgang des Verfahrens entscheidend sein soll. So bringt der Beschwerdeführer etwa vor, die G.________ AG habe den Kundenstamm der F.________ AG übernommen. Wie bereits aus seiner Klageschrift geht jedoch auch aus der Beschwerdeschrift in keiner Weise hervor, welchen konkreten Anspruch er daraus ableiten will.</w:t>
      </w:r>
    </w:p>
    <w:p>
      <w:r>
        <w:rPr>
          <w:b/>
        </w:rPr>
        <w:t>E. 2</w:t>
      </w:r>
    </w:p>
    <w:p>
      <w:r>
        <w:t>Der Beschwerdeführer wehrt sich vor Bundesgericht nicht dagegen, dass die Vorinstanz seine Klage materiell beurteilt hat. Vielmehr macht er geltend, sie habe den Sachverhalt unvollständig ermittelt und im Rahmen ihrer Beurteilung Bundesrecht falsch angewendet.</w:t>
      </w:r>
    </w:p>
    <w:p>
      <w:r>
        <w:t>Zudem stellt er vor Bundesgericht die Abweisung des von ihm geltend gemachten Verantwortlichkeitsanspruchs für die von der F.________ AG erlittenen Gerichts-, Partei- und weiteren Kosten im Zusammenhang mit der erfolgten Sonderprüfung nicht mehr in Frage. Darauf ist im Beschwerdeverfahren nicht mehr einzugehen.</w:t>
      </w:r>
    </w:p>
    <w:p>
      <w:r>
        <w:rPr>
          <w:b/>
        </w:rPr>
        <w:t>E. 3.1</w:t>
      </w:r>
    </w:p>
    <w:p>
      <w:r>
        <w:t>Die Vorinstanz erachtete den klägerischen Vorwurf als ungerechtfertigt, die Beschwerdegegner hätten der F.________ AG durch pflichtwidriges Handeln Schaden zugefügt, indem sie den Beschwerdegegner 2 zum damaligen Zeitpunkt unnötigerweise angestellt und nicht notwendige Kosten für Umzug und Transport der Abfüllanlage sowie für Umetikettierungsarbeiten übernommen hätten. Sie hielt fest, anlässlich der Verwaltungsratssitzung vom 14. Juni 2007 sei davon Kenntnis zu nehmen gewesen, dass der Beschwerdeführer - zu diesem Zeitpunkt selber noch Mitglied des Verwaltungsrats der F.________ AG - nicht gewillt gewesen sei, den Zusammenarbeitsvertrag zwischen der von ihm beherrschten B.A.________ AG und der F.________ AG zu verlängern, sondern selber ins Gallonengeschäft habe einsteigen wollen. Als Varianten seien vor diesem Hintergrund die Liquidation der Gesellschaft oder der Abschluss des vorbereiteten Zusammenarbeitsvertrags mit der Mineralquelle U.________ AG verblieben. Klar sei gewesen, dass eine Zusammenarbeit mit dieser - neben Umzugskosten - erhöhte finanzielle Aufwendungen zur Folge haben würde, so unter anderem eine Investition in den Kundendienst für mindestens ein Jahr sowie eine befristete Verpflichtung des Beschwerdegegners 2 als Geschäftsführer mit einem Pensum von mindestens 80 % und einem Bruttojahressalär von Fr. 120'000.-- auf Vollzeitbasis. Es sei einstimmig - und somit auch mit der Stimme des Beschwerdeführers - beschlossen worden, die Gesellschaft nicht zu liquidieren; zudem sei der ihnen vorliegende Zusammenarbeitsvertrag mit der Mineralquelle U.________ AG gutgeheissen worden.</w:t>
      </w:r>
    </w:p>
    <w:p>
      <w:r>
        <w:t>Die Anstellung des Beschwerdegegners 2 als Geschäftsführer in einem 80 %-Pensum und mit einem von 1. Oktober 2007 bis 31. Dezember 2008 befristeten Vertrag sei gestützt auf diesen Beschluss erfolgt. Eine Pflichtverletzung sei diesbezüglich weder dargetan noch ersichtlich. Gleiches gelte für den gestützt auf den Beschluss über die Zusammenarbeit mit der Mineralquelle U.________ AG gefällten Geschäftsentscheid, die Abfüllanlage nach U.________ zu verlegen, für die daraus resultierenden Transport-, Anpassungs- und Renovationsarbeiten sowie für die Kosten der wegen der vorgeschriebenen Nennung der Mineralquelle notwendigen Umetikettierung der Gallonen; auch diesbezüglich sei eine Pflichtverletzung weder dargetan noch ersichtlich.</w:t>
      </w:r>
    </w:p>
    <w:p>
      <w:r>
        <w:rPr>
          <w:b/>
        </w:rPr>
        <w:t>E. 3.2</w:t>
      </w:r>
    </w:p>
    <w:p>
      <w:r>
        <w:t>Hinsichtlich der eingeklagten Ansprüche im Zusammenhang mit den aufgrund der Verlegung der Abfüllanlage entstandenen Kosten für Transport, Anpassungs- und Renovationsarbeiten sowie für die Umetikettierung der Gallonen zeigt der Beschwerdeführer auch vor Bundesgericht mit keinem Wort auf, inwiefern die zugrunde liegenden Geschäftsentscheide rechts- bzw. pflichtwidrig getroffen worden wären.</w:t>
      </w:r>
    </w:p>
    <w:p>
      <w:r>
        <w:t>In Bezug auf die Anstellung des Beschwerdegegners 2 macht der Beschwerdeführer geltend, nach dem Verkauf der Abfüllanlage und des Warenlagers per Ende Juni 2008 an die G.________ AG sei der Geschäftsbetrieb der F.________ AG komplett eingestellt gewesen; diese habe jedoch das Arbeitsverhältnis erst im August 2008 per Ende Oktober 2008 aufgelöst und der Lohn sei bis Ende Oktober 2008 ausbezahlt worden, obwohl der Beschwerdegegner 2 praktisch ausschliesslich für die G.________ AG tätig gewesen sei. Soweit er sich in seinen rechtlichen Ausführungen überhaupt zum fraglichen Arbeitsverhältnis äussert, wird nicht klar, woraus er welche Pflichtverletzung der Beschwerdegegner ableiten will. Stellte die F.________ AG per Ende Juni 2008 ihre Geschäftstätigkeit vollständig ein, wie der Beschwerdeführer behauptet, so leuchtet nicht ein, inwiefern die Gesellschaft eine anderweitige Tätigkeit des Beschwerdegegners 2 ab diesem Zeitpunkt hätte verhindern können bzw. unterbinden müssen. Mit dem nicht weiter begründeten Vorbringen, die Verwaltungsräte der F.________ AG hätten von der G.________ AG "eine entsprechende Entschädigung" verlangen müssen, legt er nicht hinreichend dar, auf welcher Grundlage und mit welchen Erfolgsaussichten bei dem von ihm als richtig erachteten Vorgehen eine Entschädigung hätte erzielt werden können, geschweige denn, inwiefern das von ihm bevorzugte Vorgehen aufgrund der Sorgfalts- und Treuepflicht ( Art. 717 OR ) geboten gewesen wäre. Soweit er den Verwaltungsräten in allgemeiner Weise vorwirft, eine konkurrierende Tätigkeit des Beschwerdegegners 2 bei der G.________ AG zugelassen zu haben, geht aus seinen Ausführungen nicht hervor, welche konkreten Nachteile die F.________ AG dadurch erlitten haben soll. Inwiefern die Bedingungen des befristeten Arbeitsverhältnisses nachträglich zugunsten der F.________ AG hätten geändert und dadurch Kosten hätten eingespart werden können, vermag der Beschwerdeführer ebenso wenig aufzuzeigen.</w:t>
      </w:r>
    </w:p>
    <w:p>
      <w:r>
        <w:t>Ausserdem geht er nicht darauf ein, dass er dem (einstimmig gefällten) Beschluss, die F.________ AG nicht zu liquidieren, den Beschwerdegegner 2 in einem 80 %-Pensum zum fraglichen Lohn befristet einzustellen und fortan mit der Mineralquelle U.________ AG zusammenzuarbeiten, am 14. Juni 2007 - zusammen mit den übrigen Verwaltungsräten - selbst zugestimmt hat. Sowohl diese Anstellung als auch die Verlegung der Abfüllanlage nach U.________ erfolgten demnach mit Zustimmung sämtlicher Aktionäre der F.________ AG, zumal der Beschwerdeführer in seiner Beschwerdeeingabe selber vorbringt, das Aktionariat der Gesellschaft bestehe aus ihm und den Beschwerdegegnern 2 und 3. Entsprechend wäre eine Klage auf Leistung von Schadenersatz an die Gesellschaft ( Art. 756 Abs. 1 OR ) für die vom fraglichen Beschluss erfassten Auslagen von vornherein ausgeschlossen (zur haftungsbefreienden Einrede "</w:t>
      </w:r>
    </w:p>
    <w:p>
      <w:r>
        <w:t>volenti non fit iniuria ": BGE 131 III 640 E. 4.2).</w:t>
      </w:r>
    </w:p>
    <w:p>
      <w:r>
        <w:rPr>
          <w:b/>
        </w:rPr>
        <w:t>E. 4</w:t>
      </w:r>
    </w:p>
    <w:p>
      <w:r>
        <w:t>Der Beschwerdeführer wirft der Vorinstanz im Zusammenhang mit dem Verkauf der Abfüllanlage der F.________ AG an die G.________ AG eine Verletzung von Art. 717 und Art. 754 OR vor.</w:t>
      </w:r>
    </w:p>
    <w:p>
      <w:r>
        <w:rPr>
          <w:b/>
        </w:rPr>
        <w:t>E. 4.1</w:t>
      </w:r>
    </w:p>
    <w:p>
      <w:r>
        <w:t>Hinsichtlich des vom Beschwerdeführer geltend gemachten Schadenersatzanspruchs im Zusammenhang mit dem Verkauf der Abfüllanlage an die G.________ AG verneinte die Vorinstanz eine Pflichtverletzung der Beschwerdegegner. Sie erachtete die vom Beschwerdegegner 2 vorgenommene Analyse des Verkehrswerts der Abfüllanlage als nicht fehlerbehaftet und den Verkauf zum Preis von Fr. 26'900.-- unter Berücksichtigung der konkreten Umstände im Ergebnis als angemessen.</w:t>
      </w:r>
    </w:p>
    <w:p>
      <w:r>
        <w:t>Der Beschwerdeführer rügt, die Vorinstanz habe den massgebenden Sachverhalt unvollständig ermittelt, indem sie verschiedene seiner im kantonalen Verfahren aufgestellten Behauptungen unberücksichtigt gelassen habe, aus denen auf eine Pflichtwidrigkeit der Beschwerdegegner hätte geschlossen werden müssen. So hätten die Beschwerdegegner die G.________ AG mitbegründet. Aufgrund der verschiedenen Verflechtungen mit dieser Gesellschaft habe bei den Beschwerdegegnern beim Verkauf der Abfüllanlage ein erheblicher Interessenkonflikt bestanden. Dennoch hätten die Beschwerdegegner als Verwaltungsräte der F.________ AG keine besonderen Massnahmen getroffen, um der konkreten Konstellation und der Nähe der beiden Gesellschaften Rechnung zu tragen; so seien etwa weder externe Schätzungen noch Offerten von übrigen Marktteilnehmern eingeholt worden. Der erzielte Kaufpreis von Fr. 26'900.-- habe einem Drittvergleich in keiner Weise standgehalten. Hätte die Vorinstanz berücksichtigt, dass sich die Beschwerdegegner aufgrund ihrer Nähe zur G.________ AG beim Verkauf der Abfüllanlage in einem akuten Interessenkonflikt befunden habe, hätte sie auf eine Verletzung der Treuepflicht nach Art. 717 OR und damit eine Pflichtverletzung gemäss Art. 754 OR schliessen müssen.</w:t>
      </w:r>
    </w:p>
    <w:p>
      <w:r>
        <w:rPr>
          <w:b/>
        </w:rPr>
        <w:t>E. 4.2.1</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139 III 24 E. 3.2; 122 III 195 E. 3a S. 198; 113 II 52 E. 3a S. 56).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w:t>
      </w:r>
    </w:p>
    <w:p>
      <w:r>
        <w:t>ex ante Betrachtung stattzufinden ( BGE 139 III 24 E. 3.2 mit Hinweisen).</w:t>
      </w:r>
    </w:p>
    <w:p>
      <w:r>
        <w:t>Das Bundesgericht anerkennt, dass die Gerichte sich bei der nachträglichen Beurteilung von Geschäftsentscheiden Zurückhaltung aufzuerlegen haben, die in einem einwandfreien, auf einer angemessenen Informationsbasis beruhenden und von Interessenkonflikten freien Entscheidprozess zustande gekommen sind ( BGE 139 III 24 E. 3.2 mit Hinweisen). Sind diese Voraussetzungen erfüllt, prüft das Gericht den Geschäftsentscheid in inhaltlicher Hinsicht lediglich darauf, ob er als vertretbar erscheint (vgl. Urteil 4A_626/2013 vom 8. April 2014 E. 7; Daniel Brugger/Hans Caspar von der Crone, Gerichtliche Beurteilung von Geschäftsentscheiden, SZW 2013 S. 185 bezeichnen diese Prüfung als "Nachvollziehbarkeitsprüfung"; vgl. auch Arthur Meier-Hayoz/ Peter Forstmoser, Schweizerisches Gesellschaftsrecht, 11. Aufl. 2012, § 16 Rz. 578b, wo von Prüfung auf offensichtliche Unvernünftigkeit die Rede ist). Andernfalls rechtfertigt es sich dagegen nicht, bei der Prüfung der Sorgfaltspflichtverletzung besondere Zurückhaltung zu üben und lediglich zu prüfen, ob der Entscheid noch im Rahmen des Vertretbaren liegt. Vielmehr reicht es dann aus, dass ein Geschäftsentscheid in der gegebenen Situation bei freier bzw. umfassender Prüfung als fehlerbehaftet erscheint (Urteil 4A_97/2013 vom 28. August 2013 E. 5.2; vgl. auch Brugger/von der Crone, a.a.O., S. 185, wonach eine Pflichtwidrigkeit unter anderem dann nicht vorliegt, wenn eine freie Prüfung ergibt, dass der Entscheid trotz Interessenkonflikt zu einem sachlich angemessenen Ergebnis führte).</w:t>
      </w:r>
    </w:p>
    <w:p>
      <w:r>
        <w:rPr>
          <w:b/>
        </w:rPr>
        <w:t>E. 4.2.2</w:t>
      </w:r>
    </w:p>
    <w:p>
      <w:r>
        <w:t>Der Beschwerdeführer bringt grundsätzlich zutreffend vor, dass unter Annahme der von ihm im Rahmen seiner Sachverhaltsrüge behaupteten Verflechtungen mit der G.________ AG beim Verkauf der Abfüllanlage von einem Interessenkonflikt der Beschwerdegegner auszugehen wäre. Entsprechend hätte beim Verkaufsprozess kein von Interessenkonflikten freier Entscheidprozess vorgelegen, der eine zurückhaltende Überprüfung des Geschäftsentscheids rechtfertigen würde. Entgegen dem, was der Beschwerdeführer anzunehmen scheint, führt dies jedoch nicht ohne Weiteres zur Annahme einer Pflichtverletzung der Beschwerdegegner im Verantwortlichkeitsprozess; vielmehr ist im Einzelnen zu beurteilen, ob der konkret gefällte Geschäftsentscheid in der gegebenen Situation bei freier bzw. umfassender Prüfung als fehlerbehaftet erscheint.</w:t>
      </w:r>
    </w:p>
    <w:p>
      <w:r>
        <w:t>Die Vorinstanz weist in ihren rechtlichen Ausführungen zur aktienrechtlichen Verantwortlichkeit zwar in allgemeiner Weise darauf hin, dass bei der nachträglichen gerichtlichen Beurteilung von Geschäftsentscheiden grundsätzlich Zurückhaltung zu üben sei. Sie hat den erfolgten Verkauf der Abfüllanlage an die G.________ AG in der Folge aber nicht nur im Hinblick auf die Vertretbarkeit bzw. die offensichtliche Unvernünftigkeit des zugrunde liegenden Geschäftsentscheids, sondern inhaltlich und umfassend geprüft und dafürgehalten, dass der Verkauf im konkreten Fall nicht fehlerhaft gewesen sei.</w:t>
      </w:r>
    </w:p>
    <w:p>
      <w:r>
        <w:t>Sie hat dabei ausgeführt, die Beschwerdegegner hätten nach dem Wechsel des erst kürzlich aquirierten Grosskunden H.________ SA zur vom Beschwerdeführer beherrschten B.A.________ AG anlässlich einer Strategiesitzung vom 25. April 2008 festgestellt, dass die F.________ AG ohne Gegenmassnahmen noch vor Ende des Geschäftsjahrs insolvent sein werde. Es sei beschlossen worden, bis Mitte Juni 2008 Ausstiegsmöglichkeiten aus dem Vertrag mit der Mineralquelle U.________ AG sowie den Verkauf oder die Liquidation der F.________ AG zu prüfen. Anlässlich der Entscheidungssitzung vom 27. Juni 2008 habe der Verwaltungsrat (dem der Beschwerdeführer seit dem 21. Juni 2007 nicht mehr angehörte) angesichts der unverändert schlechten Ausgangslage - so insbesondere der fehlenden Konkurrenzfähigkeit gegenüber Discountpreisen der B.A.________ AG aufgrund der eigenen, im Zusammenarbeitsvertrag mit der Mineralquelle U.________ AG definierten Einstandspreise - beschlossen, einen Teil der Aktiven und der Passiven an die G.________ AG zu verkaufen, deren Verwaltungsrat damals der Beschwerdegegner 1 war. Die G.________ AG habe in der Folge die bei der Mineralquelle U.________ AG installierte Abfüllanlage für Fr. 26'900.-- sowie das Warenlager gemäss Inventar vom 30. Juni 2008 für Fr. 18'000.-- erworben. Gleichzeitig habe sie die Verpflichtungen der F.________ AG aus dem am 28. Juni 2007 - mit Zustimmung des Beschwerdeführers - auf fünf Jahre abgeschlossenen Zusammenarbeitsvertrag mit der Mineralquelle U.________ AG sowie Depotverpflichtungen der F.________ AG aus sich im Umlauf befindlichen Gallonen im Umfang von Fr. 29'900.-- übernommen.</w:t>
      </w:r>
    </w:p>
    <w:p>
      <w:r>
        <w:t>Im Vorfeld dieses Vertragsabschlusses habe der Beschwerdegegner 2 (zu diesem Zeitpunkt Organ der F.________ AG, nicht aber der G.________ AG) eine Analyse des Werts der Abfüllanlage vorgenommen. Darin habe er festgehalten, dass zum damaligen Zeitpunkt in der Schweiz verschiedene Gallonenabfüllmaschinen zum Verkauf gestanden seien, darunter diejenige der Mineralquelle U.________ AG, die sie seit rund einem Jahr zum sehr günstigen Preis von Fr. 10'000.-- erfolglos zu verkaufen versucht habe. Weiter habe er festgehalten, dass der realistische Verkaufspreis der gesamten Abfüllanlage der F.________ AG für den Export bei rund Fr. 40'000.-- bis maximal Fr. 50'000.-- liege. Sodann habe er aufgeführt, dass ein derartiger Verkauf der Anlage zum einen Rückbaukosten verursacht hätte und zum anderen mit Forderungen seitens der Mineralquelle U.________ AG wegen des vorzeitigen Ausstiegs aus dem Zusammenarbeitsvertrag zu rechnen gewesen wäre. Der Beschwerdegegner 2 sei zum Schluss gekommen, dass der Verkauf der Abfüllanlage zu diesem Preis die Folgekosten des Rückbaus und der Vertragsauflösung mit der Mineralquelle U.________ AG bei weitem nicht hätte decken können. Wenn der Verkauf vor dem Hintergrund eines trotz schwierigen Marktumfelds allenfalls zu realisierenden Werts von maximal Fr. 50'000.-- und weit höheren Folgekosten an einen Käufer erfolgte, der bereit gewesen sei, nicht nur die Abfüllanlage an deren Standort in U.________ zu übernehmen, sondern auch die Verpflichtungen aus dem Zusammenarbeitsvertrag mit der Mineralquelle U.________ AG, sei daraus keine Pflichtwidrigkeit seitens der Beschwerdegegner ersichtlich.</w:t>
      </w:r>
    </w:p>
    <w:p>
      <w:r>
        <w:t>Nicht anderes ergebe sich aus dem Sonderprüfungsbericht vom 9. April 2009 oder aus der erfolgten Strafuntersuchung. Im Sonderprüfungsbericht fänden sich im Zusammenhang mit dem Verkauf der Abfüllanlage keine Hinweise auf eine erfolgte geldwerte Leistung ohne entsprechende angemessene Gegenleistung, die in einer Aktionärseigenschaft begründet wäre und einem Drittvergleich nicht standhalten würde. Dabei verwies die Vorinstanz auch auf die Erkenntnisse hinsichtlich des Kaufpreises im Rahmen der Strafuntersuchung. Das Vorbringen des Beschwerdeführers, er habe im erstinstanzlichen Verfahren mit mehreren Vergleichsofferten nachgewiesen, dass ähnliche Maschinen im selben Zeitraum zu einem viel höheren Preis offeriert und verkauft worden seien, und dass er selber nicht zur Offertstellung eingeladen worden sei, obwohl er zwölf Monate zuvor einen deutlich höheren Kaufpreis für die besagte Anlage geboten habe, erachtete die Vorinstanz als nicht stichhaltig.</w:t>
      </w:r>
    </w:p>
    <w:p>
      <w:r>
        <w:rPr>
          <w:b/>
        </w:rPr>
        <w:t>E. 4.2.3</w:t>
      </w:r>
    </w:p>
    <w:p>
      <w:r>
        <w:t>Der Beschwerdeführer macht im Zusammenhang mit dem erzielten Verkaufspreis lediglich in allgemeiner Weise geltend, es hätte bei einem Verkauf an einen Dritten ein höherer Preis erzielt werden können. Er stellt jedoch nicht in Frage, dass mit dem Verkauf an die G.________ AG unter Beibehaltung des Standorts Rückbaukosten und Vertragsforderungen der Mineralquelle U.________ AG von mehr als Fr. 50'000.-- vermieden werden konnten, die bei einem möglichen Verkauf an einen Dritten angefallen wären. Dass im massgeblichen Zeitpunkt innert nützlicher Frist ein anderer Käufer zu finden gewesen wäre, der die Abfüllanlage an deren Standort weiter betrieben und die bestehenden Vertragspflichten mit der Mineralquelle U.________ AG übernommen hätte, macht er nicht geltend. Unter diesen Voraussetzungen wäre nur dann von einem Vermögensnachteil der F.________ AG auszugehen, wenn ein Dritter die Abfüllanlage zu einem Preis gekauft hätte, der die Summe von Rückbau- und Ausstiegskosten (mindestens Fr. 50'000.--) sowie dem tatsächlich erzielten Kaufpreis (Fr. 26'900.--) übersteigen würde (d.h. zu mehr als Fr. 76'900.--). Mit seinem Einwand, er selber habe ein Jahr zuvor noch das Dreifache des schliesslich bezahlten Preises angeboten (konkret Fr. 80'000.--), vermag der Beschwerdeführer keine Bundesrechtsverletzung bei der vorinstanzlichen Beurteilung der Pflichtverletzung aufzuzeigen. Dass er die Anlage auch Ende Juni 2008 noch für Fr. 80'000.-- gekauft hätte, macht er nicht geltend. Selbst ausgehend von dem von ihm behaupteten Verkehrswert gut ein Jahr vor dem erfolgten Verkauf wäre angesichts der unbestreitbaren Wertabnahme entsprechender Anlagen über die Zeit die Erwägung der Vorinstanz nicht zu beanstanden, wonach der später gefällte Verkaufsentscheid zu den fraglichen Bedingungen zu einem sachlich angemessenen Ergebnis führte.</w:t>
      </w:r>
    </w:p>
    <w:p>
      <w:r>
        <w:rPr>
          <w:b/>
        </w:rPr>
        <w:t>E. 4.2.4</w:t>
      </w:r>
    </w:p>
    <w:p>
      <w:r>
        <w:t>Eine für den geltend gemachten Schaden kausale Pflichtverletzung zeigt der Beschwerdeführer auch mit seinen Ausführungen zur vorausgesetzten Schriftform ( Art. 718b OR ) und zur Gültigkeit von Insichgeschäften nicht auf. Er macht aus der von ihm beiläufig behaupteten Ungültigkeit bzw. Formungültigkeit des strittigen Kaufvertrags keine konkreten Ansprüche geltend, sondern stützt seinen Verantwortlichkeitsanspruch ausschliesslich auf das abgewickelte Verkaufsgeschäft und den angeblich zu tiefen Verkaufspreis (vgl. auch Ralph Straessle/Hans Caspar von der Crone, Die Doppelvertretung im Aktienrecht, SZW 2013 S. 341, nach denen beim Insichgeschäft die Haftungsfrage insofern von sekundärer Bedeutung ist, als das Rechtsgeschäft und deshalb in der Regel auch der dem Vertretenen durch Abschluss dieses Geschäfts entstandene Schaden entfallen). Auch aus der nach seiner Ansicht unzulässigen faktischen Liquidation der F.________ AG bereits vor dem von der Generalversammlung gefällten Liquidationsbeschluss leitet der Beschwerdeführer keinen konkreten Anspruch ab.</w:t>
      </w:r>
    </w:p>
    <w:p>
      <w:r>
        <w:rPr>
          <w:b/>
        </w:rPr>
        <w:t>E. 4.2.5</w:t>
      </w:r>
    </w:p>
    <w:p>
      <w:r>
        <w:t>War im Zeitpunkt des strittigen Geschäftsentscheids unter Berücksichtigung sämtlicher Alternativen keine konkrete Möglichkeit erkennbar, die Abfüllanlage zu einem Preis zu verkaufen, der - unter Berücksichtigung der Folgekosten - zu einem für die Gesellschaft besseren Gesamtergebnis geführt hätte als das tatsächlich abgeschlossene Geschäft, ist der Vorinstanz keine Verletzung von Bundesrecht vorzuwerfen, wenn sie den strittigen Verkauf im konkreten Fall als nicht fehlerhaft beurteilt hat. Abgesehen davon wäre unter den beschriebenen Umständen auch nicht einleuchtend, inwiefern der F.________ AG aus dem strittigen Verkaufsgeschäft eine Vermögenseinbusse entstanden sein soll.</w:t>
      </w:r>
    </w:p>
    <w:p>
      <w:r>
        <w:t>Der Vorwurf, die Vorinstanz habe Art. 717 und Art. 754 OR verletzt, ist unbegründet.</w:t>
      </w:r>
    </w:p>
    <w:p>
      <w:r>
        <w:rPr>
          <w:b/>
        </w:rPr>
        <w:t>E. 5</w:t>
      </w:r>
    </w:p>
    <w:p>
      <w:r>
        <w:t>Die Beschwerde erweist sich als unbegründet und ist abzuweisen, soweit darauf eingetreten werden kann. Mit dem Entscheid in der Sache wird das Gesuch des Beschwerdeführers um Erlass vorsorglicher Massnahmen gegenstandslos.</w:t>
      </w:r>
    </w:p>
    <w:p>
      <w:r>
        <w:t>Dem Ausgang des Verfahrens entsprechend wird der Beschwerdeführer kostenpflichtig ( Art. 66 Abs. 1 BGG ). Die Beschwerdegegner haben keinen Anspruch auf eine Parteientschädigung, da ihnen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