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4A_218/2023 vom 22. Juni 2023</w:t>
      </w:r>
    </w:p>
    <w:p>
      <w:r>
        <w:t>Bundesgericht, 2023-06-22, FR</w:t>
      </w:r>
    </w:p>
    <w:p>
      <w:r>
        <w:rPr>
          <w:b/>
        </w:rPr>
        <w:t xml:space="preserve">Quelle: </w:t>
      </w:r>
      <w:r>
        <w:t>https://mcp.opencaselaw.ch/entscheid/bger_4A_218_2023</w:t>
      </w:r>
    </w:p>
    <w:p>
      <w:r>
        <w:t>FR: TF 4A_218/2023 du 22 juin 2023</w:t>
      </w:r>
    </w:p>
    <w:p>
      <w:r>
        <w:t>IT: TF 4A_218/2023 del 22 giugno 2023</w:t>
      </w:r>
    </w:p>
    <w:p>
      <w:pPr>
        <w:pStyle w:val="Heading2"/>
      </w:pPr>
      <w:r>
        <w:t>Erwägungen</w:t>
      </w:r>
    </w:p>
    <w:p>
      <w:r>
        <w:rPr>
          <w:b/>
        </w:rPr>
        <w:t>E. 1</w:t>
      </w:r>
    </w:p>
    <w:p>
      <w:r>
        <w:t>Le recours est dirigé contre une décision finale (art. 90 de la loi sur le Tribunal fédéral du 17 juin 2005 [LTF; RS 173.110]) rendue en matière civile ( art. 72 al. 1 LTF ) par une cour cantonale statuant en instance cantonale unique au sens de l'art. 7 du Code de procédure civile du 19 décembre 2008 (CPC; RS 272) et de l' art. 75 al. 2 let. a LTF , de sorte que la voie du recours en matière civile est ouverte sans égard à la valeur litigieuse ( art. 74 al. 2 let. b LTF ). Déposé dans le délai (art. 46 al. 1 let. a et 100 al. 1 LTF) et la forme ( art. 42 LTF ) prévus par la loi, le recours est recevable au regard de ces dispositions. Demeure toutefois réservé l'examen de la recevabilité des différents griefs formulés par le recourant.</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les critiques dites appellatoires, tendant simplement à une nouvelle appréciation des preuves, sont irrecevables ( ATF 133 II 249 consid. 1.4.3).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 Pour qu'une décision soit annulée au titre de l'arbitraire, il ne suffit pas qu'elle se fonde sur une motivation insoutenable; encore faut-il qu'elle apparaisse arbitraire dans son résultat ( ATF 144 III 145 consid. 2; 136 III 552 consid. 4.2).</w:t>
      </w:r>
    </w:p>
    <w:p>
      <w:r>
        <w:rPr>
          <w:b/>
        </w:rPr>
        <w:t>E. 3</w:t>
      </w:r>
    </w:p>
    <w:p>
      <w:r>
        <w:t>En l'espèce, le litige porte sur le point de savoir si le recourant présentait toujours une incapacité de travail après le 24 mars 2019.</w:t>
      </w:r>
    </w:p>
    <w:p>
      <w:r>
        <w:rPr>
          <w:b/>
        </w:rPr>
        <w:t>E. 3.1.1</w:t>
      </w:r>
    </w:p>
    <w:p>
      <w:r>
        <w:t>Conformément au principe général de l'art. 8 du Code civil suisse du 10 décembre 1907 (CC; RS 210) qui s'applique aussi dans le domaine du contrat d'assurance, l'ayant droit est tenu de prouver les faits relatifs à la "justification de ses prétentions" (selon la note marginale de l' art. 39 LCA ), à savoir l'existence d'un contrat d'assurance, la survenance du cas d'assurance et l'étendue de ses prétentions.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 ATF 148 III 105 consid. 3.3.1).</w:t>
      </w:r>
    </w:p>
    <w:p>
      <w:r>
        <w:rPr>
          <w:b/>
        </w:rPr>
        <w:t>E. 3.1.2</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134 V 231 consid. 5.1; 125 V 351 consid. 3a; arrêt 4A_424/2019 du 31 octobre 2019 consid. 3.1 et les références citées). En ce qui concerne les rapports établis par le médecin traitant de l'assuré,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4A_424/2019, précité, consid. 3.1).</w:t>
      </w:r>
    </w:p>
    <w:p>
      <w:r>
        <w:rPr>
          <w:b/>
        </w:rPr>
        <w:t>E. 3.2</w:t>
      </w:r>
    </w:p>
    <w:p>
      <w:r>
        <w:t>En l'occurrence, la cour cantonale a examiné en détail le rapport établi le 23 mars 2019 par le Dr E.________. Au terme de son analyse, elle a considéré que ledit rapport remplissait tous les réquisits jurisprudentiels permettant de lui reconnaître une valeur probante. Elle a estimé que les conclusions ressortant de cette expertise privée étaient corroborées par l'avis médical émis le 14 février 2022 par le service médical régional de l'assurance-invalidité (SMR), lequel avait retenu, sur la base de l'ensemble des pièces médicales versées au dossier, une capacité entière de travail de l'intéressé à partir du 25 mars 2019. La cour cantonale a enfin jugé que les critiques émises par le Dr D.________ à propos du rapport établi par son confrère n'étaient pas suffisamment cohérentes et circonstanciées pour mettre en doute les conclusions claires et bien motivées du Dr E.________, que le SMR avait fait siennes dans son avis du 14 février 2022.</w:t>
      </w:r>
    </w:p>
    <w:p>
      <w:r>
        <w:rPr>
          <w:b/>
        </w:rPr>
        <w:t>E. 3.3</w:t>
      </w:r>
    </w:p>
    <w:p>
      <w:r>
        <w:t>Reprochant à l'autorité précédente d'avoir procédé à une constatation manifestement inexacte des faits, le recourant fait grief à la cour cantonale de s'être écartée des constatations médicales opérées par le Dr D.________. En faisant fi de celles-ci et en tenant exclusivement compte de l'expertise privée réalisée par le Dr E.________, la cour cantonale aurait dès lors sombré dans l'arbitraire, retenant ainsi qu'il n'avait pas rendu vraisemblable le fait que son incapacité de travail avait perduré au-delà du 24 mars 2019.</w:t>
      </w:r>
    </w:p>
    <w:p>
      <w:r>
        <w:rPr>
          <w:b/>
        </w:rPr>
        <w:t>E. 3.4</w:t>
      </w:r>
    </w:p>
    <w:p>
      <w:r>
        <w:t>A la lecture du mémoire de recours, force est de relever que l'intéressé se contente de développer sa propre discussion des preuves médicales figurant au dossier. Son argumentation, présentant un caractère purement appellatoire, ne permet cependant pas de discerner en quoi l'appréciation critiquée serait éventuellement entachée d'une erreur indiscutable. En réalité, l'intéressé se contente de substituer son appréciation personnelle des preuves à celle de la cour cantonale. Sa critique est par conséquent irrecevable au regard de l' art. 97 al. 1 LTF et de la jurisprudence relative à cette disposition.</w:t>
      </w:r>
    </w:p>
    <w:p>
      <w:r>
        <w:t>En tout état de cause, le recourant ne démontre nullement que le rapport établi par le Dr E.________ serait contradictoire, lacunaire ou aurait ignoré des données essentielles. En outre, contrairement à ce que soutient l'intéressé, la cour cantonale n'a pas uniquement pris en considération le rapport du Dr E.________ pour aboutir à la solution retenue par elle, puisqu'elle a également tenu compte des conclusions ressortant de l'avis émis par le SMR dans son avis du 14 février 2022. Par ailleurs, la cour cantonale a soigneusement exposé les raisons pour lesquelles les critiques formulées par le Dr D.________ à l'encontre de son confrère lui semblaient infondées. En définitive, il n'y avait rien d'insoutenable à retenir, sur la base des différents éléments concordants, une pleine capacité de travail du recourant dès le 25 mars 2019. Il sied du reste de souligner que la cour cantonale a retenu que l'intéressé avait échoué à rendre vraisemblable son incapacité de travail à compter de cette date, alors même que le degré de preuve ordinaire s'appliquait pour établir l'incapacité de travail alléguée. Même à le supposer recevable, le grief considéré devrait dès lors de toute manière être rejeté.</w:t>
      </w:r>
    </w:p>
    <w:p>
      <w:r>
        <w:rPr>
          <w:b/>
        </w:rPr>
        <w:t>E. 4</w:t>
      </w:r>
    </w:p>
    <w:p>
      <w:r>
        <w:t>Dans un autre moyen, le recourant, dénonçant une violation de son droit d'être entendu ( art. 29 al. 2 Cst. ), reproche à la cour cantonale d'avoir refusé d'ordonner la mise en oeuvre de l'expertise judiciaire qu'il avait sollicitée.</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140 I 285 consid. 6.3.1).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w:t>
      </w:r>
    </w:p>
    <w:p>
      <w:r>
        <w:rPr>
          <w:b/>
        </w:rPr>
        <w:t>E. 4.2</w:t>
      </w:r>
    </w:p>
    <w:p>
      <w:r>
        <w:t>En l'espèce, la cour cantonale a refusé, sur la base d'une appréciation anticipée des preuves, d'ordonner la mise en oeuvre d'une expertise judiciaire. Elle a, en effet, jugé que les preuves disponibles lui permettaient de trancher l'affaire. Elle a en outre souligné que l'expertise sollicitée ne pourrait pas modifier le résultat de son appréciation des preuves, étant précisé que, de l'avis même du Dr D.________, le trouble psychique du recourant avait disparu courant 2021, ce qui rendait son examen par un médecin impossible. Le recourant ne prétend pas ni ne démontre que l'instance précédente aurait versé dans l'arbitraire en refusant, sur la base d'une appréciation anticipée des preuves, d'ordonner la mise en oeuvre d'une expertise judiciaire. Le grief considéré, qui manque à l'évidence sa cible, ne peut dès lors qu'être écarté.</w:t>
      </w:r>
    </w:p>
    <w:p>
      <w:r>
        <w:rPr>
          <w:b/>
        </w:rPr>
        <w:t>E. 5</w:t>
      </w:r>
    </w:p>
    <w:p>
      <w:r>
        <w:t>Au vu de ce qui précède, le recours doit être rejeté dans la faible mesure de sa recevabilité.</w:t>
      </w:r>
    </w:p>
    <w:p>
      <w:r>
        <w:t>Comme les conclusions du recours étaient vouées à l'échec, la requête d'assistance judiciaire présentée par le recourant ne peut qu'être rejetée ( art. 64 al. 1 LTF ). Celui-ci supportera par conséquent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