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4A_218/2022 vom 10. Mai 2023</w:t>
      </w:r>
    </w:p>
    <w:p>
      <w:r>
        <w:t>Bundesgericht, 2023-05-10, FR</w:t>
      </w:r>
    </w:p>
    <w:p>
      <w:r>
        <w:rPr>
          <w:b/>
        </w:rPr>
        <w:t xml:space="preserve">Quelle: </w:t>
      </w:r>
      <w:r>
        <w:t>https://mcp.opencaselaw.ch/entscheid/bger_4A_218_2022</w:t>
      </w:r>
    </w:p>
    <w:p>
      <w:r>
        <w:t>FR: TF 4A_218/2022 du 10 mai 2023</w:t>
      </w:r>
    </w:p>
    <w:p>
      <w:r>
        <w:t>IT: TF 4A_218/2022 del 10 maggio 2023</w:t>
      </w:r>
    </w:p>
    <w:p>
      <w:pPr>
        <w:pStyle w:val="Heading2"/>
      </w:pPr>
      <w:r>
        <w:t>Erwägungen</w:t>
      </w:r>
    </w:p>
    <w:p>
      <w:r>
        <w:rPr>
          <w:b/>
        </w:rPr>
        <w:t>E. 1</w:t>
      </w:r>
    </w:p>
    <w:p>
      <w:r>
        <w:t>Interjeté dans le délai fixé par la loi ( art. 100 al. 1, art. 46 al. 1 let. a et art. 45 al. 1 LTF ) par la défenderesse, qui a succombé dans ses conclusions ( art. 76 al. 1 LTF ), et dirigé contre une décision finale ( art. 90 LTF ) rendue sur appel par le tribunal supérieur du canton de Genève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ou communal en tant que tel. I l est toutefois possible de faire valoir que la mauvaise application du droit cantonal ou communal constitue une violation du droit fédéral, en particulier qu'elle est arbitraire au sens de l' art. 9 Cst. ou contraire à d'autres droits constitutionnels ( ATF 138 I 1 consid. 2.1; 134 III 379 consid. 1.2; 133 III 462 consid. 2.3).</w:t>
      </w:r>
    </w:p>
    <w:p>
      <w:r>
        <w:rPr>
          <w:b/>
        </w:rPr>
        <w:t>E. 2.3</w:t>
      </w:r>
    </w:p>
    <w:p>
      <w:r>
        <w:t>Lorsque la décision attaquée comporte plusieurs motivations indépendantes dont chacune suffit à sceller le sort de la cause ou d'une partie de celle-ci, il appartient au recourant, sous peine d'irrecevabilité, de s'attaquer conformément aux art. 42 al. 2 et 106 al. 2 LTF à chacune d'entre elles, et, pour obtenir gain de cause, de démontrer que ces motivations sont contraires au droit ( ATF 142 III 364 consid. 2.4; 138 III 728 consid. 3.4; 136 III 534 consid. 2).</w:t>
      </w:r>
    </w:p>
    <w:p>
      <w:r>
        <w:rPr>
          <w:b/>
        </w:rPr>
        <w:t>E. 3</w:t>
      </w:r>
    </w:p>
    <w:p>
      <w:r>
        <w:t>Dans un premier temps, la recourante reproche à la cour cantonale de ne pas avoir retenu que le Tribunal des prud'hommes était incompétent à raison de la matière. Elle invoque une violation de l' art. 60 CPC et une application arbitraire de l'art. 1 al. 1 let. a de la loi du canton de Genève du 11 février 2010 sur le Tribunal des prud'hommes (LTPH; RS/GE E 3 10) et conclut pour ce motif à l'irrecevabilité de la demande.</w:t>
      </w:r>
    </w:p>
    <w:p>
      <w:r>
        <w:rPr>
          <w:b/>
        </w:rPr>
        <w:t>E. 3.1.1</w:t>
      </w:r>
    </w:p>
    <w:p>
      <w:r>
        <w:t>L' art. 59 al. 2 let. b CPC prévoit que la compétence du tribunal à raison de la matière est une condition de recevabilité de l'action. Le tribunal examine d'office si les conditions de recevabilité sont remplies ( art. 60 CPC ).</w:t>
      </w:r>
    </w:p>
    <w:p>
      <w:r>
        <w:t>L'art. 1 al. 1 let. a LTPH dispose que sont jugés par le Tribunal des prud'hommes les litiges découlant d'un contrat de travail, au sens du titre dixième du Code des obligations.</w:t>
      </w:r>
    </w:p>
    <w:p>
      <w:r>
        <w:rPr>
          <w:b/>
        </w:rPr>
        <w:t>E. 3.1.2</w:t>
      </w:r>
    </w:p>
    <w:p>
      <w:r>
        <w:t>L'existence d'un contrat de travail est un fait doublement pertinent, soit un fait déterminant pour la compétence du tribunal comme pour le bien-fondé de l'action ( ATF 147 III 159 consid. 2.1.2; 142 III 466 consid. 4.1; arrêts 4A_393/2022 du 26 avril 2023 consid. 2.1.1; 4A_429/2020 du 5 mai 2021 consid. 2.1 et l'arrêt cité). Le tribunal n'est toutefois pas obligé de rendre une décision séparée sur la compétence ( ATF 147 III 159 consid. 4.2).</w:t>
      </w:r>
    </w:p>
    <w:p>
      <w:r>
        <w:t>En présence de faits doublement pertinents, la jurisprudence prescrit de procéder de la façon suivante ( ATF 147 III 159 consid. 2.1.2; 141 III 294 consid. 5.2; arrêt 4A_429/2020 précité consid. 2.1 et les arrêts cités) :</w:t>
      </w:r>
    </w:p>
    <w:p>
      <w:r>
        <w:t>- Lors de l'examen de la compétence, que le juge effectue d'office</w:t>
      </w:r>
    </w:p>
    <w:p>
      <w:r>
        <w:t>in limine litis , les faits doublement pertinents sont réputés vrais et n'ont pas à être prouvés. En s'appuyant sur les allégués, moyens et conclusions du seul demandeur, le juge doit toutefois rechercher si ces faits sont concluants, i.e. permettent de déduire juridiquement la qualification de contrat de travail, et partant la compétence matérielle invoquée.</w:t>
      </w:r>
    </w:p>
    <w:p>
      <w:r>
        <w:t>Si, à ce stade déjà, il aboutit à la conclusion qu'un tel contrat ne peut être retenu, le juge peut déclarer la demande irrecevable par décision séparée. S'il y renonce, le procès se poursuit normalement et le juge procède à l'administration des preuves.</w:t>
      </w:r>
    </w:p>
    <w:p>
      <w:r>
        <w:t>- Si, en examinant le fond de la cause, le juge réalise finalement qu'il n'y a pas de contrat de travail, il ne peut rendre un jugement sur la compétence mais doit rejeter la demande par une décision de fond, revêtue de l'autorité de la chose jugée. Le cas échéant, il doit examiner si la prétention repose sur un autre fondement; en effet, en vertu du principe</w:t>
      </w:r>
    </w:p>
    <w:p>
      <w:r>
        <w:t>jura novit curia (cf. art. 57 CPC ), un seul et même juge doit pouvoir examiner la même prétention sous toutes ses " coutures juridiques " (arrêt 4A_429/2020 précité consid. 2.1 et les arrêts cités).</w:t>
      </w:r>
    </w:p>
    <w:p>
      <w:r>
        <w:rPr>
          <w:b/>
        </w:rPr>
        <w:t>E. 3.1.3</w:t>
      </w:r>
    </w:p>
    <w:p>
      <w:r>
        <w:t>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 4A_53/2021 du 21 septembre 2021 consid. 5.1.3 et les arrêts cités).</w:t>
      </w:r>
    </w:p>
    <w:p>
      <w:r>
        <w:t>S'agissant des rapports juridiques entre une personne morale et ses organes, singulièrement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w:t>
      </w:r>
    </w:p>
    <w:p>
      <w:r>
        <w:t>sui generis analogue au mandat. En tous les cas, lorsque l'organe dirigeant exerce son activité à titre principal, le critère décisif en faveur du contrat de travail est le rapport de subordination, l'intéressé étant alors soumis à des instructions, par exemple du conseil d'administration ( ATF 130 III 213 consid. 2.1; 128 III 129 consid. 1a/aa; arrêt 4A_500/2018 du 11 avril 2019 consid. 4.1 et les arrêts cités). Par définition, il n'existe aucun rapport de subordination lorsqu'il y a identité économique entre la personne morale et son organe dirigeant; un contrat de travail ne saurait ainsi lier une société anonyme et son actionnaire et administrateur unique ( ATF 125 III 78 consid. 4).</w:t>
      </w:r>
    </w:p>
    <w:p>
      <w:r>
        <w:rPr>
          <w:b/>
        </w:rPr>
        <w:t>E. 3.2</w:t>
      </w:r>
    </w:p>
    <w:p>
      <w:r>
        <w:t>La cour cantonale a, en substance, retenu que, représentée par un avocat, la société s'était prévalue, dès le début du litige, des règles régissant le contrat de travail, qu'elle n'avait invoqué l'absence d'un tel contrat qu'après avoir succombé devant le tribunal et que l'attitude de la société recourante, qui n'avait contesté la compétence du tribunal à raison de la matière qu'au stade de l'appel, confinait à l'abus de droit, de sorte que son grief ne saurait être examiné.</w:t>
      </w:r>
    </w:p>
    <w:p>
      <w:r>
        <w:t>Quand bien même dût-il être examiné, elle a retenu que ce grief serait irrecevable faute de motivation suffisante. En effet, vu que le tribunal ne s'était pas déclaré incompétent d'entrée de cause et avait mené une instruction complète, il aurait dû, s'il avait admis que les rapports juridiques entre les parties ne relevaient pas du contrat de travail, examiner si le demandeur pouvait fonder ses prétentions sur un autre rapport obligationnel et trancher le litige sur la base des règles applicables audit rapport. Or, la cour cantonale a relevé que la société s'était limitée, sur ce point, à rappeler que les versements indus ou disproportionnés en faveur des membres du conseil d'administration " nécessitent un examen, à la lumière de l' art. 678 CO ". Elle a jugé que, ce faisant, la société n'avait en rien tenté de démontrer, sur la base des faits constatés par le tribunal, que les règles qui régissaient les rapports juridiques qu'elle entretenait avec l'administrateur ne permettaient pas d'octroyer à celui-ci les avantages qu'il réclamait.</w:t>
      </w:r>
    </w:p>
    <w:p>
      <w:r>
        <w:rPr>
          <w:b/>
        </w:rPr>
        <w:t>E. 3.3</w:t>
      </w:r>
    </w:p>
    <w:p>
      <w:r>
        <w:t>La recourante reproche à la cour cantonale, d'une part, d'avoir refusé d'examiner d'office la compétence à raison de la matière du tribunal et invoque une violation de l' art. 60 CPC .</w:t>
      </w:r>
    </w:p>
    <w:p>
      <w:r>
        <w:t>D'autre part, elle lui fait grief d'avoir interprété arbitrairement l'art. 1 al. 1 let. a LTPH en rejetant l'exception d'incompétence qu'elle avait soulevée. Elle soutient que la cour cantonale aurait dû constater que le tribunal aurait pu et dû estimer, sur la base de la demande de l'administrateur, que le contrat la liant à celui-ci n'était pas un contrat de travail et qu'il aurait dû déclarer dite demande irrecevable. En substance, elle avance que l'intimé était membre de son conseil d'administration d'avril 2006 à juin 2019 et actionnaire de la société détenant la recourante à hauteur de 50 %. Elle ajoute que l'intimé ne recevait aucune instruction de la part de ses coadministrateurs et qu'il donnait des ordres et des instructions à l'administratrice secrétaire de la société, D.________, et non l'inverse; cela découlerait tant des conversations WhatsApp produites par l'intimé, celui-ci ayant tenu, le 12 février 2019, des propos injurieux à l'égard de D.________, que du fait que celle-ci lui avait demandé son aval pour lui verser la somme de 335'270 fr. à titre de bonus pour l'année 2017. Enfin, la recourante allègue qu'au vu desdits échanges WhatsApp, l'intimé bénéficiait d'une liberté totale dans l'organisation de son temps de travail et qu'il n'était pas tenu de rendre compte de ses activités à quelque supérieur hiérarchique que ce soit, de sorte qu'il n'existait aucun rapport de subordination entre l'intimé et la recourante.</w:t>
      </w:r>
    </w:p>
    <w:p>
      <w:r>
        <w:rPr>
          <w:b/>
        </w:rPr>
        <w:t>E. 3.4</w:t>
      </w:r>
    </w:p>
    <w:p>
      <w:r>
        <w:t>Peut rester ouverte la question de savoir si, comme le soutient l'intimé, les conclusions de la recourante relatives à la compétence du Tribunal des prud'hommes sont irrecevables en tant qu'elles tendraient, de manière contraire à la théorie dite des faits de double pertinence, à l'irrecevabilité de la demande et non à son rejet. Le grief doit en effet être rejeté en tout état de cause.</w:t>
      </w:r>
    </w:p>
    <w:p>
      <w:r>
        <w:t>En effet, bien que la cour cantonale ait jugé que le comportement de la défenderesse recourante confinait à l'abus de droit en ce qu'elle avait invoqué pour la première fois devant elle, en appel, la prétendue incompétence du tribunal, elle a examiné le grief invoqué et considéré qu'il n'était pas recevable en raison d'une motivation insuffisante, le tribunal étant aussi compétent, s'il n'y a en définitive pas de contrat de travail, en vertu du principe</w:t>
      </w:r>
    </w:p>
    <w:p>
      <w:r>
        <w:t>jura novit curia (cf.</w:t>
      </w:r>
    </w:p>
    <w:p>
      <w:r>
        <w:t>supra consid. 3.1.2</w:t>
      </w:r>
    </w:p>
    <w:p>
      <w:r>
        <w:t>in fine ). Pour ce même motif, il n'y a pas d'arbitraire dans l'application du droit cantonal.</w:t>
      </w:r>
    </w:p>
    <w:p>
      <w:r>
        <w:rPr>
          <w:b/>
        </w:rPr>
        <w:t>E. 4</w:t>
      </w:r>
    </w:p>
    <w:p>
      <w:r>
        <w:t>Dans un second temps, la recourante fait grief à la cour cantonale d'avoir admis la modification des conclusions effectuée par le demandeur intimé le 15 avril 2020.</w:t>
      </w:r>
    </w:p>
    <w:p>
      <w:r>
        <w:rPr>
          <w:b/>
        </w:rPr>
        <w:t>E. 4.1</w:t>
      </w:r>
    </w:p>
    <w:p>
      <w:r>
        <w:t>Selon l' art. 227 al. 1 CPC , la demande ne peut être modifiée que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elle doit reposer sur des faits ou des moyens de preuve nouveaux ( art. 230 al. 1 let. b CPC ).</w:t>
      </w:r>
    </w:p>
    <w:p>
      <w:r>
        <w:t>Il faut distinguer la simple clarification de conclusions de leur modification. La demande est notamment modifiée lorsque la demanderesse fait valoir de nouveaux allégués desquels il ressort que la demande n'est plus identique avec celle déposée à l'origine. En revanche, il y a identité de demandes lorsque les conclusions, l'état de fait et les " éléments juridiques " desquels sont déduites les prétentions sont identiques ( ATF 136 III 341 consid. 4; arrêt 5A_621/2012 du 20 mars 2013 consid. 4.3.2 et l'arrêt cité).</w:t>
      </w:r>
    </w:p>
    <w:p>
      <w:r>
        <w:rPr>
          <w:b/>
        </w:rPr>
        <w:t>E. 4.2</w:t>
      </w:r>
    </w:p>
    <w:p>
      <w:r>
        <w:t>La cour cantonale a constaté que le demandeur avait allégué d'entrée de cause qu'un bonus de 363'360 fr. lui avait été octroyé pour l'année 2018 et conclu à ce que la société défenderesse fût condamnée à lui verser cette somme et qu'il avait modifié cette conclusion le 8 décembre 2020 en indiquant que ce montant se rapportait, en fin de compte, à l'année 2017. Elle a jugé qu'il n'en demeurait pas moins que les faits et les " tenants et aboutissants juridiques " à la base de la conclusion litigieuse avaient été introduits au procès en temps utile. Dans de telles circonstances, elle a considéré que la simple rectification de l'année pour laquelle le montant était réclamé ne saurait constituer une modification des conclusions au sens de l' art. 230 CPC , une telle assimilation relevant d'un formalisme excessif incompatible avec les règles de la bonne foi en procédure.</w:t>
      </w:r>
    </w:p>
    <w:p>
      <w:r>
        <w:t>La cour cantonale a également examiné la modification de la demande sous l'angle de l' art. 230 CPC et jugé que l'issue du litige n'en serait pas modifiée.</w:t>
      </w:r>
    </w:p>
    <w:p>
      <w:r>
        <w:rPr>
          <w:b/>
        </w:rPr>
        <w:t>E. 4.3</w:t>
      </w:r>
    </w:p>
    <w:p>
      <w:r>
        <w:t>La recourante considère que la modification de l'année mentionnée dans les conclusions de la demande ne saurait constituer une simple rectification matérielle. Selon elle, le demandeur intimé a réclamé, dans sa demande, un salaire variable pour l'année 2018 uniquement et fondait cette prétention sur l'existence d'un droit acquis au paiement d'un bonus du fait du versement d'un salaire variable en 2017; il n'avait, selon elle, jamais été question du versement d'un salaire variable pour l'année 2017. Partant, elle considère que les conclusions originales du demandeur n'étaient pas frappées d'une imprécision, d'un manque de clarté ou d'une erreur de plume nécessitant de procéder à une correction ou à une clarification.</w:t>
      </w:r>
    </w:p>
    <w:p>
      <w:r>
        <w:t>Elle soutient par ailleurs que les conditions de l' art. 230 CPC ne seraient pas remplies, dès lors qu'il n'existait pas de faits nouveaux permettant au demandeur de modifier ses conclusions.</w:t>
      </w:r>
    </w:p>
    <w:p>
      <w:r>
        <w:rPr>
          <w:b/>
        </w:rPr>
        <w:t>E. 4.4</w:t>
      </w:r>
    </w:p>
    <w:p>
      <w:r>
        <w:t>L'intimé indique qu'il s'est fondé sur l'engagement de la recourante ressortant des courriels des 21 décembre 2018 et 11 janvier 2019 pour demander à la société recourante le paiement de 363'360 fr.</w:t>
      </w:r>
    </w:p>
    <w:p>
      <w:r>
        <w:rPr>
          <w:b/>
        </w:rPr>
        <w:t>E. 4.5</w:t>
      </w:r>
    </w:p>
    <w:p>
      <w:r>
        <w:t>Il ressort des constatations de la cour cantonale que le demandeur intimé a toujours demandé le paiement du même montant à la même société pour les mêmes faits sans baser ses prétentions sur des nouveaux allégués. Dès lors que rien ne permet de constater que le demandeur intimé aurait tenté de faire valoir une prétention différente de celle originellement demandée, c'est à bon droit que la cour cantonale a retenu que le courrier du 15 avril 2020 ne constituait qu'une précision relative à l'année pour laquelle le salaire variable était dû et, partant, que dite précision était recevable et ne constituait pas une modification de la demande.</w:t>
      </w:r>
    </w:p>
    <w:p>
      <w:r>
        <w:t>Le grief doit être rejeté.</w:t>
      </w:r>
    </w:p>
    <w:p>
      <w:r>
        <w:rPr>
          <w:b/>
        </w:rPr>
        <w:t>E. 5</w:t>
      </w:r>
    </w:p>
    <w:p>
      <w:r>
        <w:t>Au vu de ce qui précède,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