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4A_218/2015 vom 28. Oktober 2015</w:t>
      </w:r>
    </w:p>
    <w:p>
      <w:r>
        <w:t>Bundesgericht, 2015-10-28, FR</w:t>
      </w:r>
    </w:p>
    <w:p>
      <w:r>
        <w:rPr>
          <w:b/>
        </w:rPr>
        <w:t xml:space="preserve">Quelle: </w:t>
      </w:r>
      <w:r>
        <w:t>https://mcp.opencaselaw.ch/entscheid/bger_4A_218_2015</w:t>
      </w:r>
    </w:p>
    <w:p>
      <w:r>
        <w:t>FR: TF 4A_218/2015 du 28 octobre 2015</w:t>
      </w:r>
    </w:p>
    <w:p>
      <w:r>
        <w:t>IT: TF 4A_218/2015 del 28 ottobre 2015</w:t>
      </w:r>
    </w:p>
    <w:p>
      <w:pPr>
        <w:pStyle w:val="Heading2"/>
      </w:pPr>
      <w:r>
        <w:t>Erwägungen</w:t>
      </w:r>
    </w:p>
    <w:p>
      <w:r>
        <w:rPr>
          <w:b/>
        </w:rPr>
        <w:t>E. 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les recourants ou encore des moyens soulevés dans le mémoire de recours, aucune de ces conditions de recevabilité ne fait problème en l'espèce. Rien ne s'oppose donc à l'entrée en matière.</w:t>
      </w:r>
    </w:p>
    <w:p>
      <w:r>
        <w:rPr>
          <w:b/>
        </w:rPr>
        <w:t>E. 2</w:t>
      </w:r>
    </w:p>
    <w:p>
      <w:r>
        <w:t>Dans un premier moyen, les recourants reprochent au Tribunal arbitral d'avoir omis de se prononcer sur les conclusions subsidiaires de leur demande.</w:t>
      </w:r>
    </w:p>
    <w:p>
      <w:r>
        <w:rPr>
          <w:b/>
        </w:rPr>
        <w:t>E. 2.1</w:t>
      </w:r>
    </w:p>
    <w:p>
      <w:r>
        <w:t>Selon l' art. 190 al. 2 let . c, seconde hypothèse, LDIP, la sentence peut être attaquée lorsque le tribunal arbitral a omis de se prononcer sur un des chefs de la demande. L'omission de se prononcer vise un déni de justice formel. La loi fédérale a repris ici le second motif de recours que prévoyait l' art. 36 let . c du Concordat suisse sur l'arbitrage. Par "chefs de la demande" ("Rechtsbegehren", "determinate conclusioni", "claims"), on entend les demandes ou conclusions des parties. Ce qui est visé ici, c'est la sentence incomplète, soit l'hypothèse dans laquelle le tribunal arbitral n'a pas statué sur l'une des conclusions que lui avaient soumises les parties. Lorsque la sentence rejette toutes autres ou plus amples conclusions, ce grief est exclu. Il ne permet pas non plus de faire valoir que le tribunal arbitral a omis de trancher une question importante pour la solution du litige ( ATF 128 III 234 consid. 4a p. 242 et les références; voir aussi l'arrêt 4A_246/2014 du 15 juillet 2015 consid. 5.1 et l'arrêt 4A_446/2013 du 5 février 2014 consid. 6.2.2.2).</w:t>
      </w:r>
    </w:p>
    <w:p>
      <w:r>
        <w:rPr>
          <w:b/>
        </w:rPr>
        <w:t>E. 2.2</w:t>
      </w:r>
    </w:p>
    <w:p>
      <w:r>
        <w:t>Par de longs développements, les recourants tentent de démontrer que le Tribunal arbitral ne se serait pas prononcé sur leur conclusion subsidiaire tendant à faire constater la nullité partielle de la transaction extrajudiciaire du 8 mars 2011, plus précisément de ses art. 2, 3, 4 et 11. Semblable tentative est d'emblée vouée à l'échec car elle fait fi de la jurisprudence précitée.</w:t>
      </w:r>
    </w:p>
    <w:p>
      <w:r>
        <w:t>Le Tribunal arbitral a formellement rejeté toutes les conclusions des recourants (sentence, p. 66, ch. IV, n. 1), si bien que le sort du grief s'en trouve scellé. Ce que lui reprochent, en réalité, les recourants, c'est de ne pas avoir traité la question, soulevée par eux, de la nullité partielle de la transaction extrajudiciaire incriminée. Il s'agit là d'un problème qui relève du droit d'être entendu ( ATF 133 III 235 consid. 5.2), grief que les intéressés ne formulent pas dans leur mémoire. Du reste, comme le Tribunal arbitral le relève à juste titre, les recourants eux-mêmes concèdent que les arbitres ont implicitement confirmé la validité des clauses 2 à 4 de la transaction extrajudiciaire dans la sentence attaquée (recours, n. 72). Le Tribunal arbitral souligne aussi, avec raison d'ailleurs, qu'il a admis la validité de la clause 11 de ladite convention puisqu'il s'est fondé sur cette clause pour infliger une peine conventionnelle aux recourants (sentence, n. 170 à 173) et qu'il l'aurait fait également en faveur de ceux-ci s'ils lui avaient soumis une conclusion ad hoc (sentence, n. 174).</w:t>
      </w:r>
    </w:p>
    <w:p>
      <w:r>
        <w:t>Dès lors, le grief fait au Tribunal arbitral d'avoir statué</w:t>
      </w:r>
    </w:p>
    <w:p>
      <w:r>
        <w:t>infra petita tombe manifestement à faux.</w:t>
      </w:r>
    </w:p>
    <w:p>
      <w:r>
        <w:rPr>
          <w:b/>
        </w:rPr>
        <w:t>E. 3</w:t>
      </w:r>
    </w:p>
    <w:p>
      <w:r>
        <w:t>En second lieu, les recourants font grief au Tribunal arbitral d'avoir statué</w:t>
      </w:r>
    </w:p>
    <w:p>
      <w:r>
        <w:t>ultra petita .</w:t>
      </w:r>
    </w:p>
    <w:p>
      <w:r>
        <w:rPr>
          <w:b/>
        </w:rPr>
        <w:t>E. 3.1</w:t>
      </w:r>
    </w:p>
    <w:p>
      <w:r>
        <w:t>L' art. 190 al. 2 let . c, première hypothèse, LDIP permet d'attaquer une sentence lorsque le tribunal arbitral a statué au-delà des demandes dont il était saisi. Tombent sous le coup de cette disposition les sentences qui allouent plus ou autre chose que ce qui a été demandé (</w:t>
      </w:r>
    </w:p>
    <w:p>
      <w:r>
        <w:t>ultra ou</w:t>
      </w:r>
    </w:p>
    <w:p>
      <w:r>
        <w:t>extra petita ).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w:t>
      </w:r>
    </w:p>
    <w:p>
      <w:r>
        <w:t>ne eat iudex ultra petita partium s'il donne à une demande une autre qualification juridique que celle qui a été présentée par le demandeur. Le principe</w:t>
      </w:r>
    </w:p>
    <w:p>
      <w:r>
        <w:t>jura novit curia ,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 4A_709/2014 du 21 mai 2015 consid. 4.1 et le précédent cité).</w:t>
      </w:r>
    </w:p>
    <w:p>
      <w:r>
        <w:rPr>
          <w:b/>
        </w:rPr>
        <w:t>E. 3.2</w:t>
      </w:r>
    </w:p>
    <w:p>
      <w:r>
        <w:t>A son art. 11.1, la transaction extrajudiciaire du 8 mars 2011, prévoyait qu'en cas d'inexécution ou d'exécution imparfaite de l'une de ses clauses, en dépit d'un avertissement assorti d'un délai de grâce, la partie défaillante devrait payer à l'autre la somme de ... euros à titre de peine conventionnelle, le créancier pouvant d'ailleurs demander à la fois que la convention soit exécutée et la peine conventionnelle acquittée (art. 11.2). En outre, au cas où le Tribunal arbitral serait saisi, la partie demanderesse qui succomberait, fût-ce partiellement, devrait verser à la partie défenderesse un montant identique à titre de pénalité.</w:t>
      </w:r>
    </w:p>
    <w:p>
      <w:r>
        <w:t>Sous chiffre 1 des conclusions de sa demande reconventionnelle prises à la page 107 de son écriture finale du 11 novembre 2014, l'intimée a invité le Tribunal arbitral à condamner solidairement les recourants à lui verser "une pénalité de ... avec intérêts à 5% l'an dès le 9 janvier 2012".</w:t>
      </w:r>
    </w:p>
    <w:p>
      <w:r>
        <w:t>Dans le dispositif de sa sentence, le Tribunal arbitral a condamné solidairement les recourants à payer ... euros à l'intimée (sentence, p. 66, ch. IV, n. 4). Ce faisant, il est resté bien en deçà de la conclusion ad hoc formulée dans le cadre de la demande reconventionnelle, dès lors que le montant alloué est inférieur au montant réclamé et qu'il n'est de surcroît pas assorti d'un quelconque intérêt.</w:t>
      </w:r>
    </w:p>
    <w:p>
      <w:r>
        <w:t>Toutefois, à suivre les recourants, la fixation du point de départ des intérêts au 9 janvier 2012 dans la conclusion reconventionnelle topique exclurait de comprendre cette conclusion en ce sens qu'elle concernait aussi les deux violations de la transaction extrajudiciaire prétendument commises par eux après ladite date, à savoir la saisine du tribunal étatique ... et le fait d'avoir succombé dans la procédure arbitrale en cause. Il fallait en inférer, bien plutôt, que cette conclusion était limitée à la troisième violation, intervenue avant le 9 janvier 2012. Or, le Tribunal arbitral en avait rejeté l'existence, faute de preuve suffisante. Aussi, toujours selon les recourants, ne pouvait-il fonder leur condamnation sur les deux autres violations sans statuer</w:t>
      </w:r>
    </w:p>
    <w:p>
      <w:r>
        <w:t>ultra petita . Il n'en est rien. D'une part, il ne ressort nullement du libellé de la conclusion reconventionnelle en question que l'intimée aurait qualifié ou limité ses prétentions dans cette conclusion même. D'autre part, c'est le contraire qui résulte du passage pertinent de la dernière écriture de l'intéressée, ainsi que le Tribunal arbitral le souligne à juste titre, références à l'appui, sous chiffre 2 de sa réponse au recours.</w:t>
      </w:r>
    </w:p>
    <w:p>
      <w:r>
        <w:t>Par conséquent, le second moyen soulevé par les recourants apparaît, lui aussi, dénué de tout fondement.</w:t>
      </w:r>
    </w:p>
    <w:p>
      <w:r>
        <w:rPr>
          <w:b/>
        </w:rPr>
        <w:t>E. 4</w:t>
      </w:r>
    </w:p>
    <w:p>
      <w:r>
        <w:t>Au terme de cet examen, il y a lieu de rejeter le recours. Les recourants, qui succombent, seront condamnés solidairement à payer les frais de la procédure fédérale ( art. 66 al. 1 et 5 LTF ) et à verser des dépens à l'intimée ( art. 68 al. 1, 2 et 4 LTF ). L'indemnité allouée à cette partie sera prélevée sur les sûretés fournies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