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4A_217/2024 vom 23. Mai 2024</w:t>
      </w:r>
    </w:p>
    <w:p>
      <w:r>
        <w:t>Bundesgericht, 2024-05-23, DE</w:t>
      </w:r>
    </w:p>
    <w:p>
      <w:r>
        <w:rPr>
          <w:b/>
        </w:rPr>
        <w:t xml:space="preserve">Quelle: </w:t>
      </w:r>
      <w:r>
        <w:t>https://mcp.opencaselaw.ch/entscheid/bger_4A_217_2024</w:t>
      </w:r>
    </w:p>
    <w:p>
      <w:r>
        <w:t>FR: TF 4A_217/2024 du 23 mai 2024</w:t>
      </w:r>
    </w:p>
    <w:p>
      <w:r>
        <w:t>IT: TF 4A_217/2024 del 23 maggio 2024</w:t>
      </w:r>
    </w:p>
    <w:p>
      <w:pPr>
        <w:pStyle w:val="Heading2"/>
      </w:pPr>
      <w:r>
        <w:t>Erwägungen</w:t>
      </w:r>
    </w:p>
    <w:p>
      <w:r>
        <w:rPr>
          <w:b/>
        </w:rPr>
        <w:t>E. 1</w:t>
      </w:r>
    </w:p>
    <w:p>
      <w:r>
        <w:t>Mit Entscheid vom 16. Oktober 2023 wies das Bezirksgericht Weinfelden eine von den Beschwerdeführern erhobene Klage ab und erklärte die von der Beschwerdegegnerin ausgesprochenen Kündigungen vom 19. September 2022 für gültig. Zudem erkannte es, dass den Beschwerdeführern keine Entschädigung für die vorzeitige Beendigung des befristeten Mietvertrags zugesprochen werde und erstreckte das Mietverhältnis erstmalig bis 30. Juni 2024.</w:t>
      </w:r>
    </w:p>
    <w:p>
      <w:r>
        <w:t>Mit Zirkularentscheid vom 20. Februar 2024 trat das Obergericht des Kantons Thurgau auf die von den Beschwerdeführern gegen den bezirksgerichtlichen Entscheid vom 16. Oktober 2023 erhobene Berufung mangels rechtsgenügender Begründung des Rechtsmittels nicht ein.</w:t>
      </w:r>
    </w:p>
    <w:p>
      <w:r>
        <w:t>Mit Eingabe vom 8. April 2024 erklärten die Beschwerdeführer dem Bundesgericht, den Zirkularentscheid des Obergerichts des Kantons Thurgau vom 20. Februar 2024 mit Beschwerde anfechten zu wollen.</w:t>
      </w:r>
    </w:p>
    <w:p>
      <w:r>
        <w:t>Am 5. und 21. Mai 2024 reichten sie dem Bundesgericht weitere Eingaben ein.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Eine Beschwerde ist - abgesehen von der hier nicht gegebenen Ausnahme nach Art. 43 BGG - innert der Beschwerdefrist, die nicht erstreckbar ist ( Art. 47 Abs. 1 BGG ), mit einem Antrag und vollständig begründet einzureichen ( Art. 42 Abs. 1 BGG ). Eine Ergänzung der Beschwerdebegründung nach Ablauf der Beschwerdefrist kann nicht zugelassen werden ( BGE 134 II 244 E. 2.4; 133 III 489 E. 3.3). Die Beschwerde muss innerhalb von dreissig Tagen nach der Eröffnung der vollständigen Ausfertigung des angefochtenen Entscheides beim Bundesgericht eingereicht werden ( Art. 100 Abs. 1 BGG ). Dazu muss sie spätestens am letzten Tag der Frist beim Bundesgericht eingereicht oder zu dessen Handen der Schweizerischen Post oder einer schweizerischen diplomatischen oder konsularischen Vertretung übergeben werden ( Art. 48 Abs. 1 BGG ).</w:t>
      </w:r>
    </w:p>
    <w:p>
      <w:r>
        <w:t>Der angefochtene Zirkularentscheid des Obergerichts des Kantons Thurgau vom 20. Februar 2024 ging den Beschwerdeführern am 8. März 2024 zu. Damit begann die Beschwerdefrist am 9. März 2024 zu laufen ( Art. 44 Abs. 1 BGG ) und endete - unter Berücksichtigung der Gerichtsferien ( Art. 46 Abs. 1 lit. a BGG ) - am 22. April 2024. Die vom 5. und 21. Mai 2024 datierenden Beschwerdeergänzungen erfolgten somit verspätet und haben unbeachtet zu bleiben.</w:t>
      </w:r>
    </w:p>
    <w:p>
      <w:r>
        <w:rPr>
          <w:b/>
        </w:rPr>
        <w:t>E. 2.2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2.4</w:t>
      </w:r>
    </w:p>
    <w:p>
      <w:r>
        <w:t>Die Beschwerdeführer setzen sich in ihrer Beschwerdeeingabe vom 8. April 2024 nicht hinreichend mit den Erwägungen des angefochtenen Zirkularentscheids des Obergerichts des Kantons Thurgau vom 20. Februar 2024 auseinander und zeigen nicht auf, inwiefern die Vorinstanz mit ihrem Nichteintretensentscheid Bundesrecht verletzt hätte, sondern unterbreiten dem Bundesgericht in unzulässiger Weise ihre eigene Sicht der Dinge.</w:t>
      </w:r>
    </w:p>
    <w:p>
      <w:r>
        <w:t>Auf die Beschwerde ist somit mangels hinreichender Begründung nicht einzutreten ( Art. 108 Abs. 1 lit. b BGG ).</w:t>
      </w:r>
    </w:p>
    <w:p>
      <w:r>
        <w:rPr>
          <w:b/>
        </w:rPr>
        <w:t>E. 3</w:t>
      </w:r>
    </w:p>
    <w:p>
      <w:r>
        <w:t>Das Gesuch um Gewährung der unentgeltlichen Rechtspflege für das bundesgerichtliche Verfahren ist bereits wegen Aussichtslosigkeit abzuweisen ( Art. 64 Abs. 1 BGG ). Die Beschwerdeführer werden bei diesem Verfahrensausgang unter solidarischer Haftbarkeit kostenpflichtig ( Art. 66 Abs. 1 und 5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