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217/2022 vom 6. Juli 2022</w:t>
      </w:r>
    </w:p>
    <w:p>
      <w:r>
        <w:t>Bundesgericht, 2022-07-06, FR</w:t>
      </w:r>
    </w:p>
    <w:p>
      <w:r>
        <w:rPr>
          <w:b/>
        </w:rPr>
        <w:t xml:space="preserve">Quelle: </w:t>
      </w:r>
      <w:r>
        <w:t>https://mcp.opencaselaw.ch/entscheid/bger_4A_217_2022</w:t>
      </w:r>
    </w:p>
    <w:p>
      <w:r>
        <w:t>FR: TF 4A 217/2022 du 6 juillet 2022</w:t>
      </w:r>
    </w:p>
    <w:p>
      <w:r>
        <w:t>IT: TF 4A 217/2022 del 6 luglio 2022</w:t>
      </w:r>
    </w:p>
    <w:p>
      <w:pPr>
        <w:pStyle w:val="Heading2"/>
      </w:pPr>
      <w:r>
        <w:t>Regeste</w:t>
      </w:r>
    </w:p>
    <w:p>
      <w:r>
        <w:t>arbitrage interne, | Procédure civile</w:t>
      </w:r>
    </w:p>
    <w:p>
      <w:pPr>
        <w:pStyle w:val="Heading2"/>
      </w:pPr>
      <w:r>
        <w:t>Erwägungen</w:t>
      </w:r>
    </w:p>
    <w:p>
      <w:r>
        <w:rPr>
          <w:b/>
        </w:rPr>
        <w:t>E. 1</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Qu'il s'agisse de l'objet du recours, de la qualité pour recourir, des conclusions prises par l'intéressée ou du délai de recours, aucune de ces conditions de recevabilité ne fait problème en l'espèce. Rien ne s'oppose à l'entrée en matière. Demeure réservé l'examen de la recevabilité, sous l'angle de leur motivation, des critiques formulées par la recourante.</w:t>
      </w:r>
    </w:p>
    <w:p>
      <w:r>
        <w:rPr>
          <w:b/>
        </w:rPr>
        <w:t>E. 2.1</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4A_139/2021 du 2 décembre 2021 consid. 1.2; 4A_7/2019 du 21 mars 2019 consid. 2; 4A_542/2015 du 16 février 2016 consid. 1.2).</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références citées).</w:t>
      </w:r>
    </w:p>
    <w:p>
      <w:r>
        <w:rPr>
          <w:b/>
        </w:rPr>
        <w:t>E. 2.2.1</w:t>
      </w:r>
    </w:p>
    <w:p>
      <w:r>
        <w:t>Dans son mémoire de recours, l'intéressée se lance, sur près de six pages, dans une narration de son propre cru des circonstances factuelles et procédurales de la cause en litige, sans se limiter aux constatations faites souverainement par le Tribunal arbitral dans la sentence attaquée. Elle n'invoque, du reste, aucune des exceptions sus-indiquées qui lui permettraient de s'en prendre aux constatations du Tribunal arbitral. Dès lors, la Cour de céans examinera le mérite des critiques formulées par la recourante à la lumière de ces constatations-là, et d'elles seules.</w:t>
      </w:r>
    </w:p>
    <w:p>
      <w:r>
        <w:rPr>
          <w:b/>
        </w:rPr>
        <w:t>E. 3</w:t>
      </w:r>
    </w:p>
    <w:p>
      <w:r>
        <w:t>Dans un unique moyen, la recourante, invoquant l' art. 393 let . e CPC, soutient que la sentence attaquée est arbitraire dans son résultat.</w:t>
      </w:r>
    </w:p>
    <w:p>
      <w:r>
        <w:rPr>
          <w:b/>
        </w:rPr>
        <w:t>E. 3.1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4A_215/2020, précité, consid. 4). L'arbitraire proscrit par l' art. 393 let . e CPC découle aussi du fait que la sentence arbitrale constitue une violation manifeste du droit. Seul le droit matériel est visé, à l'exclusion du droit de procédure ( ATF 142 III 284 consid. 3.2; arrêt 4A_642/2017 du 12 novembre 2018 consid. 5.1). Demeurent réservées, par analogie avec la jurisprudence relative à l' art. 190 al. 2 let . e LDIP, les fautes de procédure qui portent atteinte à l'ordre public procédural (arrêt 4A_600/2016 du 29 juin 2017 consid. 3.1 et l'arrêt cité).</w:t>
      </w:r>
    </w:p>
    <w:p>
      <w:r>
        <w:rPr>
          <w:b/>
        </w:rPr>
        <w:t>E. 3.2</w:t>
      </w:r>
    </w:p>
    <w:p>
      <w:r>
        <w:t>Dans la sentence attaquée, le Tribunal arbitral souligne que la question qu'il doit résoudre est celle de savoir si la procédure préalable au prononcé de la décision attaquée a révélé des indices suffisants d'une potentielle applicabilité de la CN 2019-2022 à la recourante, autorisant ainsi l'intimée à requérir de cette dernière qu'elle se plie à un contrôle visant à éclaircir cette question. A cet égard, il estime qu'il y a lieu, pour apprécier le problème litigieux, de se placer dans la position qui était celle de l'intimée au jour du prononcé de la décision attaquée, raison pour laquelle les événements survenus postérieurement ne sauraient être pris en considération. Le Tribunal arbitral estime, dans la foulée, que la recourante adopte un comportement contraire aux règles de la bonne foi, puisqu'elle refuse toute forme de contrôle de son entreprise par la CPGO tout en se déclarant prête à accepter de lui fournir, sur motivation, des justificatifs pour permettre à cette dernière d'établir si elle est ou non soumise à la CN 2019-2022. Il relève, en l'occurrence, que les soupçons ayant donné lieu à la mise en oeuvre d'un contrôle remontent à la fin de l'année 2018 déjà, lorsque les inspecteurs de l'intimée ont constaté que la recourante employait des ouvriers sur un chantier relevant de la Convention nationale du secteur principal de la construction. Par la suite, la décision prise par l'Office de gestion de la Fondation pour la retraite anticipée (ci-après: la FAR) d'affilier la recourante à la FAR, et les échanges entre la FAR et l'intimée concernant notamment l'information fournie par l'Office cantonal genevois de l'eau selon laquelle la recourante réalisait des travaux de canalisations sur un chantier, étaient de nature à renforcer légitimement les soupçons selon lesquels la recourante était bel et bien affiliée à la CN 2019-2022. Loin de tirer des conclusions définitives touchant l'assujettissement de la recourante à la CN 2019-2022, l'intimée a considéré qu'il y avait matière à éclaircir la situation réelle de la recourante. Elle a du reste poursuivi ses investigations auprès de tiers, à savoir la Commission paritaire des bureaux d'ingénieurs de Genève (ci-après: la CPBIG) et l'Office cantonal genevois de l'inspection et des relations de travail. Il en est ressorti que les affirmations de l'intéressée selon lesquelles elle n'employait que des ingénieurs étaient contredites par ses déclarations faites auprès de la CPBIG. La recourante était dès lors malvenue à se plaindre d'avoir été sanctionnée alors qu'il lui aurait suffi de prêter son concours à l'intimée et de répondre à ses questions pour obtenir rapidement une clarification de la situation et, le cas échéant, la constatation formelle de son non-assujettissement à la CN 2019-2022, notamment en produisant, simplement, les contrats de travail de ses employés. Le Tribunal arbitral estime ainsi que la procédure préalable au prononcé de la décision entreprise a révélé la présence d'indices suffisants d'une potentielle applicabilité de la CN 2019-2022, raison pour laquelle l'intimée était en droit de prononcer une sanction financière à l'encontre de la recourante, en raison du refus de collaborer de cette dernière.</w:t>
      </w:r>
    </w:p>
    <w:p>
      <w:r>
        <w:rPr>
          <w:b/>
        </w:rPr>
        <w:t>E. 3.3</w:t>
      </w:r>
    </w:p>
    <w:p>
      <w:r>
        <w:t>Dans une critique mêlant le fait et le droit, revêtant de surcroît un caractère appellatoire marqué, la recourante fait valoir que la CN 2019-2022 ne lui est pas applicable puisqu'elle déploie uniquement une activité d'ingénierie et d'entreprise générale. Elle affirme que c'est bien plutôt l'intimée qui s'est comportée de manière incompatible avec le principe de la bonne foi en agissant, en réalité, à la demande de la FAR. Elle insiste également sur le fait qu'elle a formé un recours aux fins de contester son affiliation auprès de la FAR. Elle reproche par ailleurs au Tribunal arbitral de n'avoir pas pris en considération les pièces postérieures à la demande de contrôle litigieuse qui tendaient à démontrer qu'elle n'était pas soumise à la CN 2019-2022. L'intéressée estime, ainsi, qu'elle était parfaitement en droit refuser de se soumettre au contrôle de l'intimée. L'argumentation développée par la recourante, outre qu'elle repose en partie sur des faits non constatés par le Tribunal arbitral, ne permet nullement d'établir que ce dernier aurait versé dans l'arbitraire en entérinant la sanction prononcée par l'intimée. A cet égard, la solution retenue par la Cour de céans dans une affaire similaire (arrêt 4A_67/2013 du 1er juillet 2013) peut être transposée ici mutatis mutandis . En l'occurrence, l'applicabilité de la CN 2019-2022 à la recourante ne pouvait pas être exclue d'emblée. Sur la base des faits retenus par le Tribunal arbitral, l'intimée avait, en effet, des raisons légitimes d'entreprendre des investigations concernant la situation juridique de la recourante. N'ayant pas pu obtenir de l'intéressée la collaboration requise, elle a utilisé la sanction conventionnelle que constitue la peine conventionnelle afin de l'y contraindre. Au regard de l'ensemble des circonstances, la sanction prononcée par l'intimée à l'encontre de la recourante, entérinée par le Tribunal arbitral, n'apparaît nullement arbitraire au sens de l' art. 393 let . e CPC. La tentative de la recourante de démontrer, sur la base de documents postérieurs au contrôle mené par l'intimée, qu'elle n'est en réalité pas soumise à la CN 2019-2022 ne permet pas d'aboutir à la conclusion inverse. Force est, en effet, de relever que l'intimée, sur la base des informations dont elle disposait au moment où elle a décidé de contrôler la recourante, pouvait légitimement nourrir des soupçons concernant le statut de la recourante et, partant, entreprendre des investigations afin d'éclaircir cette situation. A le supposer recevable, le moyen examiné ne peut qu'être rejeté.</w:t>
      </w:r>
    </w:p>
    <w:p>
      <w:r>
        <w:rPr>
          <w:b/>
        </w:rPr>
        <w:t>E. 4</w:t>
      </w:r>
    </w:p>
    <w:p>
      <w:r>
        <w:t>Au vu de ce qui précède, le recours doit être rejeté dans la mesure de sa recevabilité. La recourante, qui succombe, prendra les frais de la procédure à sa charge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