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4A_217/2017 vom 4. August 2017</w:t>
      </w:r>
    </w:p>
    <w:p>
      <w:r>
        <w:t>Bundesgericht, 2017-08-04, FR</w:t>
      </w:r>
    </w:p>
    <w:p>
      <w:r>
        <w:rPr>
          <w:b/>
        </w:rPr>
        <w:t xml:space="preserve">Quelle: </w:t>
      </w:r>
      <w:r>
        <w:t>https://mcp.opencaselaw.ch/entscheid/bger_4A_217_2017</w:t>
      </w:r>
    </w:p>
    <w:p>
      <w:r>
        <w:t>FR: TF 4A_217/2017 du 4 août 2017</w:t>
      </w:r>
    </w:p>
    <w:p>
      <w:r>
        <w:t>IT: TF 4A_217/2017 del 4 agosto 2017</w:t>
      </w:r>
    </w:p>
    <w:p>
      <w:pPr>
        <w:pStyle w:val="Heading2"/>
      </w:pPr>
      <w:r>
        <w:t>Erwägungen</w:t>
      </w:r>
    </w:p>
    <w:p>
      <w:r>
        <w:rPr>
          <w:b/>
        </w:rPr>
        <w:t>E. 1</w:t>
      </w:r>
    </w:p>
    <w:p>
      <w:r>
        <w:t>Déposé en temps utile ( art. 100 al. 1 LTF en lien avec l' art. 46 al. 1 let. a LTF ) par le demandeur qui a succombé dans ses conclusions en paiement ( art. 76 al. 1 LTF ) et dirigé contre un arrêt final ( art. 90 LTF ) rendu sur recours par le tribunal supérieur du canton ( art. 75 LTF ) dans une contestation civile pécuniaire dont la valeur litigieuse excède 30'000 fr. (art. 72 al. 1 et 74 al. 1 let. b LTF), le recours en matière civile est recevable au regard de ces dispositions.</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3.1</w:t>
      </w:r>
    </w:p>
    <w:p>
      <w:r>
        <w:t>La cour cantonale a constaté une divergence entre le demandeur et le défendeur quant à la détermination des parties au contrat de société simple du 23 juillet 2010: le demandeur niait avoir agi avec B.________ en leur qualité d'associés de l'étude et soutenait avoir agi à titre individuel, tandis que le défendeur affirmait avoir conclu ce contrat avec l'étude. Les juges cantonaux ont dès lors procédé à une interprétation des déclarations et comportements selon le principe de la confiance (sur cette méthode d'interprétation, cf. consid. 3.4.3</w:t>
      </w:r>
    </w:p>
    <w:p>
      <w:r>
        <w:t>infra ). Ils sont arrivés à la conclusion que le contrat du 23 juillet 2010 avait été conclu par le demandeur et B.________ d'une part, en leur qualité d'associés de l'étude, et par le défendeur d'autre part, pour les motifs exposés ci-dessous.</w:t>
      </w:r>
    </w:p>
    <w:p>
      <w:r>
        <w:t>En 2010, en suite du départ de plusieurs associés, A.________ et B.________ avaient décidé de poursuivre l'activité de l'étude et de reprendre en conséquence les droits et obligations de celle-ci, notamment l'actionnariat de S1.________ SA, comme cela ressortait du courrier du 23 juillet 2010 adressé aux associés démissionnaires. De ce fait, les deux prénommés formaient entre eux une société simple. Le contrat litigieux du 23 juillet 2010 devait assurer la pérennité du département des sociétés, en prévoyant notamment l'apport de sa clientèle et de ses ressources humaines à S1.________ SA, qui devait ensuite devenir S2.________ SA. A.________ soutenait que cette clientèle appartenait à l'étude en tant qu'actif de celle-ci, et non au défendeur. Il ne pouvait dès lors prétendre avoir signé l'accord litigieux à titre individuel. En effet, il ne pouvait effectuer cet apport de clientèle qu'aux côtés de B.________ en leur qualité d'associés, puisque ladite clientèle leur appartenait, selon lui, en main commune. Le demandeur et B.________ avaient donc conclu l'accord litigieux avec Z.________ en tant qu'associés de la société simple destinée à poursuivre l'activité de l'étude.</w:t>
      </w:r>
    </w:p>
    <w:p>
      <w:r>
        <w:t>Il importait peu que l'accord ne mentionne pas expressément que A.________ et B.________ agissaient pour le compte de l'étude, tandis que les conventions qu'ils avaient conclues à la même époque avec deux études d'avocats indiquaient expressément leur qualité d'associés.</w:t>
      </w:r>
    </w:p>
    <w:p>
      <w:r>
        <w:t>Si A.________ s'était exprimé à titre individuel après que le défendeur eut refusé de lui transférer les parts de S3.________ Sàrl, ce fait était sans incidence pour l'interprétation de l'accord litigieux, dans la mesure où il s'agissait d'un événement postérieur.</w:t>
      </w:r>
    </w:p>
    <w:p>
      <w:r>
        <w:t>Par ailleurs, le fait que le capital social de cette société ait été arrêté à 21'000 fr., soit un montant divisible en trois parts égales, ne permettait pas de retenir que les trois avocats s'étaient engagés à titre individuel. Au contraire, selon les explications de Z.________ qui étaient corroborées par un témoin, A.________ lui avait indiqué qu'il ne pouvait pas s'affilier individuellement à l'organisme de régulation et que pour maintenir son activité d'intermédiaire financier, il devait s'associer avec deux avocats suisses, dans une société détenue majoritairement par ces derniers. En détenant chacun un tiers, le demandeur et B.________, en leur qualité d'associés formant entre eux une société simple, étaient bel et bien majoritaires.</w:t>
      </w:r>
    </w:p>
    <w:p>
      <w:r>
        <w:t>Enfin, B.________ avait expliqué qu'elle n'avait pas participé aux négociations, ne comprenait pas le montant ni les raisons du versement de 1,6 millions de francs, mais avait fait confiance au demandeur, étant persuadée qu'il défendrait leurs intérêts communs. A la lumière de ces explications, elle avait bel et bien signé l'accord litigieux en sa qualité d'associée de l'étude, et non à titre individuel. Comme elle avait refusé de céder sa créance au demandeur, celui-ci devait agir conjointement avec elle.</w:t>
      </w:r>
    </w:p>
    <w:p>
      <w:r>
        <w:rPr>
          <w:b/>
        </w:rPr>
        <w:t>E. 3.2</w:t>
      </w:r>
    </w:p>
    <w:p>
      <w:r>
        <w:t>Le demandeur fait grief à l'autorité précédente d'avoir violé la maxime des débats ( art. 55 CPC ) en lui déniant la légitimation active, que le défendeur n'avait nullement contestée dans ses écritures de première instance, où il n'était pas allégué que le demandeur aurait signé le contrat du 23 juillet 2010 conjointement avec B.________ en qualité d'associés d'une société simple. En fondant leur décision sur des faits non allégués en première instance alors qu'ils auraient pu l'être, les juges cantonaux auraient violé l' art. 55 CPC .</w:t>
      </w:r>
    </w:p>
    <w:p>
      <w:r>
        <w:rPr>
          <w:b/>
        </w:rPr>
        <w:t>E. 3.3.1</w:t>
      </w:r>
    </w:p>
    <w:p>
      <w:r>
        <w:t>La société simple est un contrat par lequel deux ou plusieurs personnes conviennent d'unir leurs efforts ou leurs ressources en vue d'atteindre un but commun ( art. 530 al. 1 CO ). Chaque associé doit faire un apport, qui peut consister en argent, en créances, en d'autres biens ou en industrie. Sauf convention contraire, les apports doivent être égaux, et de la nature et importance qu'exige le but de la société ( art. 531 al. 1 et 2 CO ).</w:t>
      </w:r>
    </w:p>
    <w:p>
      <w:r>
        <w:t>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w:t>
      </w:r>
    </w:p>
    <w:p>
      <w:r>
        <w:t>S'agissant du but commun, l'</w:t>
      </w:r>
    </w:p>
    <w:p>
      <w:r>
        <w:t>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 ATF 99 II 303 consid. 4a; arrêt 4A_251/2016 du 13 décembre 2016 consid. 5.2.1).</w:t>
      </w:r>
    </w:p>
    <w:p>
      <w:r>
        <w:rPr>
          <w:b/>
        </w:rPr>
        <w:t>E. 3.3.2</w:t>
      </w:r>
    </w:p>
    <w:p>
      <w:r>
        <w:t>Le corollaire en procédure de ce «rapport de droit» qu'est la société simple est que tous ses membres doivent nécessairement ouvrir action ensemble, comme consorts nécessaires: en effet, en vertu de l' art. 70 al. 1 CPC , les parties à un rapport de droit qui n'est susceptible que d'une décision unique doivent agir conjointement (</w:t>
      </w:r>
    </w:p>
    <w:p>
      <w:r>
        <w:t>gemeinsam klagen ). Comme la communauté que forme la société simple sur le plan de l'actif découle du droit matériel ( art. 544 al. 1 CO ), cette consorité nécessaire est qualifiée de matérielle ( ATF 142 III 782 consid. 3.1.2 et les arrêts cités). Le Tribunal fédéral examine librement si les parties se trouvent dans un rapport de société simple et, partant, forment une consorité matérielle nécessaire, puisqu'il s'agit d'une question relevant du droit matériel ( art. 106 al. 1 LTF ; ATF 142 III 782 consid. 3.1.2; 137 III 455 consid. 3.5).</w:t>
      </w:r>
    </w:p>
    <w:p>
      <w:r>
        <w:rPr>
          <w:b/>
        </w:rPr>
        <w:t>E. 3.3.3</w:t>
      </w:r>
    </w:p>
    <w:p>
      <w:r>
        <w:t>Selon l' art. 544 al. 1 CO ,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 ATF 137 III 455 consid. 3.4 et les arrêts cités). En tant qu'ils sont titulaires en main commune d'une créance, les associés forment ainsi entre eux une consorité matérielle nécessaire et ne peuvent faire valoir la créance que tous ensemble. Si les associés n'agissent pas tous ensemble, ceux qui ont introduit l'action n'ont pas la légitimation active, ce qui entraîne le rejet de la demande, et non son irrecevabilité ( ATF 137 III 455 consid. 3.5 et les références citées; cf. aussi ATF 140 III 598 consid. 3.2).</w:t>
      </w:r>
    </w:p>
    <w:p>
      <w:r>
        <w:rPr>
          <w:b/>
        </w:rPr>
        <w:t>E. 3.4.1</w:t>
      </w:r>
    </w:p>
    <w:p>
      <w:r>
        <w:t>L' art. 55 al. 1 CPC prévoit que les parties allèguent les faits sur lesquels elles fondent leurs prétentions et produisent les preuves qui s'y rapportent (maxime des débats). L' 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 ATF 142 III 462 consid. 4.1).</w:t>
      </w:r>
    </w:p>
    <w:p>
      <w:r>
        <w:t>Si la légitimation active en tant que condition matérielle de la prétention déduite en justice doit être examinée d'office par le juge ( ATF 126 III 59 consid. 1a p. 63 et les arrêts cités), lorsque la maxime des débats s'applique, cet examen ne peut se faire que sur la base des faits allégués et prouvés (ATF 118 la 129 consid. 1; arrêt 4A_197/2012 du 30 juillet 2012 consid. 4.2; FRANÇOIS BOHNET, in CPC annoté, 2016, n° 5 ad art. 55 CPC ; GASSER/RICKLI, Schweizerische Zivilprozessordnung, 2</w:t>
      </w:r>
    </w:p>
    <w:p>
      <w:r>
        <w:t>e éd. 2014, n° 2 ad art. 55 CPC ; MYRIAM A. GEHRI, in Basler Kommentar, 3</w:t>
      </w:r>
    </w:p>
    <w:p>
      <w:r>
        <w:t>e éd. 2017, n° 3 ad art. 55 CPC ). Le juge n'est pas autorisé non plus à pallier aux carences d'une partie, par exemple en attirant l'attention de celle-ci sur des faits qu'elle n'a pas allégués, pas plus qu'il ne peut l'aider à mieux défendre sa cause ou lui suggérer des arguments ( ATF 142 III 462 consid. 4.3).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 art. 317 al. 1 CPC ( ATF 142 III 413 consid. 2.2.2).</w:t>
      </w:r>
    </w:p>
    <w:p>
      <w:r>
        <w:rPr>
          <w:b/>
        </w:rPr>
        <w:t>E. 3.4.2</w:t>
      </w:r>
    </w:p>
    <w:p>
      <w:r>
        <w:t>En l'espèce, les juges cantonaux ont conclu à l'issue d'une interprétation objective que B.________ et le demandeur avaient conjointement entre eux conclu le contrat litigieux du 23 juillet 2010 avec le défendeur en tant qu'associés d'une société simple.</w:t>
      </w:r>
    </w:p>
    <w:p>
      <w:r>
        <w:rPr>
          <w:b/>
        </w:rPr>
        <w:t>E. 3.4.3</w:t>
      </w:r>
    </w:p>
    <w:p>
      <w:r>
        <w:t>L'interprétation objective, ou interprétation selon le principe de la confiance, consiste à rechercher quel sens les parties pouvaient ou devaient donner, de bonne foi, à leurs manifestations de volonté réciproques; il s'agit d'une question de droit ( ATF 138 III 659 consid. 4.2.1). Cette interprétation objective s'effectue non seulement d'après le texte et le contexte des déclarations, mais également sur le vu des circonstances qui les ont précédées et accompagnées, à l'exclusion des événements postérieurs ( ATF 142 III 239 consid. 5.2.1).</w:t>
      </w:r>
    </w:p>
    <w:p>
      <w:r>
        <w:rPr>
          <w:b/>
        </w:rPr>
        <w:t>E. 3.4.4</w:t>
      </w:r>
    </w:p>
    <w:p>
      <w:r>
        <w:t>Pour déterminer, dans le cadre d'une interprétation objective du contrat du 23 juillet 2010, si B.________ et le demandeur l'avaient conclu en tant qu'associés d'une société simple - question relevant du droit matériel (cf. consid. 3.3.2 et 3.4.1</w:t>
      </w:r>
    </w:p>
    <w:p>
      <w:r>
        <w:t>supra ) -, la cour cantonale pouvait se fonder sur tous les éléments de fait régulièrement allégués et prouvés. Contrairement à ce que soutient le demandeur, le défendeur n'avait ainsi pas à alléguer - s'agissant d'une question de droit - que le contrat du 23 juillet 2010 avait été signé par le demandeur et B.________ en tant qu'associés d'une société simple. Le défendeur pouvait bien plutôt se contenter, le cas échéant, de soulever en plaidoirie le moyen juridique tiré du défaut de légitimation active du demandeur, ce qu'il indique de manière plausible avoir fait lors de l'audience des plaidoiries finales du 12 janvier 2016 sans qu'il importe de savoir si tel a bien été le cas, puisqu'il s'agissait d'une question juridique que le tribunal pouvait examiner d'office ( art. 57 CPC ; cf. consid. 3.4.1</w:t>
      </w:r>
    </w:p>
    <w:p>
      <w:r>
        <w:t>supra ).</w:t>
      </w:r>
    </w:p>
    <w:p>
      <w:r>
        <w:rPr>
          <w:b/>
        </w:rPr>
        <w:t>E. 3.4.5</w:t>
      </w:r>
    </w:p>
    <w:p>
      <w:r>
        <w:t>Or, le demandeur - qui dénonce une violation de l' art. 55 CPC uniquement par rapport à l'absence d'allégation selon laquelle le demandeur et B.________ ont signé le contrat litigieux en tant qu'associés d'une société simple - ne prétend pas que les éléments de fait sur lesquels s'est fondée la cour cantonale pour retenir le défaut de légitimation active en raison d'une consorité nécessaire avec B.________ n'auraient pas été allégués et prouvés. Il n'y a donc pas lieu de revoir la décision entreprise à cet égard.</w:t>
      </w:r>
    </w:p>
    <w:p>
      <w:r>
        <w:rPr>
          <w:b/>
        </w:rPr>
        <w:t>E. 3.4.6</w:t>
      </w:r>
    </w:p>
    <w:p>
      <w:r>
        <w:t>Par ailleurs, le demandeur ne prétend pas que l'interprétation objective opérée par les juges cantonaux (cf. consid. 3.1</w:t>
      </w:r>
    </w:p>
    <w:p>
      <w:r>
        <w:t>supra ) violerait le droit fédéral, ce qui n'apparaît pas être le cas, de sorte qu'il n'y a pas lieu d'examiner la question plus avant (cf. consid. 2.1</w:t>
      </w:r>
    </w:p>
    <w:p>
      <w:r>
        <w:t>supra ).</w:t>
      </w:r>
    </w:p>
    <w:p>
      <w:r>
        <w:rPr>
          <w:b/>
        </w:rPr>
        <w:t>E. 4</w:t>
      </w:r>
    </w:p>
    <w:p>
      <w:r>
        <w:t>Il résulte de ce qui précède que le recours doit être rejeté dans la mesure où il est recevable.</w:t>
      </w:r>
    </w:p>
    <w:p>
      <w:r>
        <w:t>Vu l'issue du recours, les frais de la présente procédure seront mis à la charge du demandeur ( art. 66 al. 1 LTF ), qui versera en outre au défendeur une indemnité de 12'000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