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217/2009 vom 3. November 2009</w:t>
      </w:r>
    </w:p>
    <w:p>
      <w:r>
        <w:t>Bundesgericht, 2009-11-03, FR</w:t>
      </w:r>
    </w:p>
    <w:p>
      <w:r>
        <w:rPr>
          <w:b/>
        </w:rPr>
        <w:t xml:space="preserve">Quelle: </w:t>
      </w:r>
      <w:r>
        <w:t>https://mcp.opencaselaw.ch/entscheid/bger_4A_217_2009</w:t>
      </w:r>
    </w:p>
    <w:p>
      <w:r>
        <w:t>FR: TF 4A 217/2009 du 3 novembre 2009</w:t>
      </w:r>
    </w:p>
    <w:p>
      <w:r>
        <w:t>IT: TF 4A 217/2009 del 3 novembre 2009</w:t>
      </w:r>
    </w:p>
    <w:p>
      <w:pPr>
        <w:pStyle w:val="Heading2"/>
      </w:pPr>
      <w:r>
        <w:t>Regeste</w:t>
      </w:r>
    </w:p>
    <w:p>
      <w:r>
        <w:t>contrat de société; avenant au contrat | Droit des sociétés</w:t>
      </w:r>
    </w:p>
    <w:p>
      <w:pPr>
        <w:pStyle w:val="Heading2"/>
      </w:pPr>
      <w:r>
        <w:t>Erwägungen</w:t>
      </w:r>
    </w:p>
    <w:p>
      <w:r>
        <w:rPr>
          <w:b/>
        </w:rPr>
        <w:t>E. 1.1</w:t>
      </w:r>
    </w:p>
    <w:p>
      <w:r>
        <w:t>Le Tribunal fédéral examine librement et d'office la recevabilité des recours qui lui sont soumis ( ATF 135 III 1 consid. 1.1 p. 3, 329 consid. 1 p. 331, 430 consid. 1 p. 431).</w:t>
      </w:r>
    </w:p>
    <w:p>
      <w:r>
        <w:rPr>
          <w:b/>
        </w:rPr>
        <w:t>E. 1.2</w:t>
      </w:r>
    </w:p>
    <w:p>
      <w:r>
        <w:t>Il résulte de constatations cantonales non contestées que la valeur litigieuse devant l'autorité précédente atteignait le seuil de 30'000 fr. requis par l' art. 74 al. 1 let. b LTF (cf. art. 51 al. 1 let. a et al. 3 LTF ). En conséquence, le recours en matière civile est ouvert - même pour se plaindre d'une violation d'un droit constitutionnel ( ATF 134 III 379 consid. 1.2 p. 382) -, de sorte que le recours constitutionnel, qui est subsidiaire, est irrecevable ( art. 113 LTF ).</w:t>
      </w:r>
    </w:p>
    <w:p>
      <w:r>
        <w:rPr>
          <w:b/>
        </w:rPr>
        <w:t>E. 1.3</w:t>
      </w:r>
    </w:p>
    <w:p>
      <w:r>
        <w:t>Interjeté par la partie qui a succombé dans ses conclusions en constatation de droit et en paiement ( art. 76 al. 1 LTF ) et dirigé contre un arrêt final ( art. 90 LTF ) rendu en matière civile ( art. 72 al. 1 LTF ) par une autorité cantonale de dernière instance ( art. 75 LTF ), le recours est en principe recevable, puisqu'il a été déposé dans le délai (art. 100 al. 1, 48 al. 1 et 46 al. 1 let. a LTF) et la forme ( art. 42 LTF ) prévus par la loi.</w:t>
      </w:r>
    </w:p>
    <w:p>
      <w:r>
        <w:rPr>
          <w:b/>
        </w:rPr>
        <w:t>E. 1.4</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1.5</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En conséquence, il n'est pas possible de prendre en considération l'exposé des faits figurant aux pages 8 à 19 du recours. Aucun fait nouveau ni preuve nouvelle ne peut être présenté à moins de résulter de la décision de l'autorité précédente ( art. 99 al. 1 LTF ).</w:t>
      </w:r>
    </w:p>
    <w:p>
      <w:r>
        <w:rPr>
          <w:b/>
        </w:rPr>
        <w:t>E. 1.6</w:t>
      </w:r>
    </w:p>
    <w:p>
      <w:r>
        <w:t>Le Tribunal fédéral ne peut aller au-delà des conclusions des parties ( art. 107 al. 1 LTF ). Toute conclusion nouvelle est irrecevable ( art. 99 al. 2 LTF ).</w:t>
      </w:r>
    </w:p>
    <w:p>
      <w:r>
        <w:rPr>
          <w:b/>
        </w:rPr>
        <w:t>E. 2.1</w:t>
      </w:r>
    </w:p>
    <w:p>
      <w:r>
        <w:t>Le recourant n'invoque qu'un seul grief: l'interdiction de l'arbitraire ( art. 9 Cst. ). 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263 consid. 3.1 p. 265 s.). En ce qui concerne plus précisément l'appréciation des preuves et les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 S'agissant d'un grief d'ordre constitutionnel, le Tribunal fédéral ne peut entrer en matière que si l'arbitraire est invoqué et motivé par le recourant ( art. 106 al. 2 LTF ). Celui qui se plaint d'une application arbitraire du droit cantonal doit désigner la disposition cantonale qui aurait été violée et expliquer en quoi consiste l'arbitraire ( ATF 128 I 273 consid. 2.1 p. 275 s.). Celui qui se plaint d'arbitraire dans l'appréciation des preuves et l'établissement des faits doit montrer de manière circonstanciée en quoi consiste l'arbitraire ( ATF 133 IV 286 consid. 6.2 p. 288); encore faut-il que le point de fait contesté soit susceptible d'influer sur le sort de la cause ( art. 97 al. 1 LTF ).</w:t>
      </w:r>
    </w:p>
    <w:p>
      <w:r>
        <w:rPr>
          <w:b/>
        </w:rPr>
        <w:t>E. 2.2</w:t>
      </w:r>
    </w:p>
    <w:p>
      <w:r>
        <w:t>Invoquant le droit cantonal, le recourant reproche à l'autorité précédente d'avoir déclaré irrecevable l'une de ses conclusions pour le motif qu'elle était nouvelle. Comme le recours n'est pas ouvert pour se plaindre d'une violation du droit cantonal ( art. 95 et 96 LTF ), on peut se demander si le grief d'arbitraire a été suffisamment motivé, puisque l'on ne saurait confondre l'arbitraire et la violation du droit (cf. ATF 134 III 379 consid. 1.2 p. 382 s.). La question peut rester indécise. Le recourant ne conteste pas que les conclusions nouvelles sont prohibées devant la Chambre des recours et que la conclusion écartée n'avait pas été prise devant l'autorité de première instance. Dès lors, son grief est voué à l'échec. Soit - comme le soutient le recourant - sa conclusion n'est qu'une déduction des autres conclusions (plus exactement: une motivation des conclusions en paiement) et n'a pas de portée juridique distincte, auquel cas le recourant n'a aucun intérêt à recourir, puisque sa conclusion est sans portée (un intérêt est requis pour exercer toutes voies de droit: ATF 130 III 102 consid. 1.3 p. 105; 127 III 429 consid. 1b p. 431; 126 III 198 consid. 2b p. 201); soit cette conclusion avait une portée juridique distincte et il faut en déduire, puisqu'elle est nouvelle, que la décision prise par l'autorité cantonale était fondée.</w:t>
      </w:r>
    </w:p>
    <w:p>
      <w:r>
        <w:rPr>
          <w:b/>
        </w:rPr>
        <w:t>E. 2.3</w:t>
      </w:r>
    </w:p>
    <w:p>
      <w:r>
        <w:t>Invoquant le droit cantonal, le recourant reproche à l'autorité précédente d'avoir écarté des faits concernant les rapports d'amitié entre les parties et le manque d'expérience du recourant dans la gestion des bars, en considérant qu'ils étaient nouveaux. Le recourant ne prétend pas que l'on se trouverait dans l'un des cas particuliers qui permettrait à la Chambre des recours de compléter l'administration des preuves. Il n'indique pas non plus quel point de fait précis aurait été allégué par lui en première instance ou résulterait des pièces du dossier et aurait été considéré à tort comme nouveau par la cour cantonale. Ainsi, l'argumentation présentée, qui reste dans le vague, est impropre à démontrer l'arbitraire. Il n'apparaît pas que ces faits puissent modifier l'issue du litige ( art. 97 al. 1 LTF ).</w:t>
      </w:r>
    </w:p>
    <w:p>
      <w:r>
        <w:rPr>
          <w:b/>
        </w:rPr>
        <w:t>E. 2.4</w:t>
      </w:r>
    </w:p>
    <w:p>
      <w:r>
        <w:t>Le recourant reproche à la cour cantonale d'avoir apprécié les preuves arbitrairement en ne retenant pas l'existence d'une erreur de sa part ou d'un dol de la part de l'intimé. Il y a erreur lorsqu'une personne, en se faisant une fausse représentation de la situation, manifeste une volonté qui ne correspond pas à celle qu'elle aurait exprimée si elle ne s'était pas trompée. Savoir si une personne, au moment de passer un acte juridique, se trouvait dans l'erreur est une question de fait ( ATF 134 III 643 consid. 5.3.1 p. 650; 118 II 58 consid. 3a p. 62; 113 II 25 consid. 1a p. 27). Nul ne peut invalider un acte juridique sur la base des art. 23 ss CO si, en réalité, il n'était pas dans l'erreur ( ATF 128 III 70 consid. 1b p. 74). Il incombe à celui qui invoque une erreur pour échapper aux conséquences d'un acte juridique d'apporter la preuve que ses représentations internes étaient erronées (Bruno Schmidlin, in Commentaire romand, CO I, 2003, n° 61 ad art. 23-24 CO ; du même auteur, in Berner Kommentar, 1995, n° 434 ad art. 23-24 CO ; Ingeborg Schwenzer, in Basler Kommentar, OR I, 4e éd. 2007, n° 12 ad art. 23 CO ; Max Kummer, in Berner Kommentar, 1962, n° 292 ad art. 8 CC ; Hans Schmid, in Basler Kommentar, ZGB I, 3e éd. 2006, n° 61 ad art. 8 CC ). Il y a dol au sens de l' art. 28 CO lorsque le cocontractant, de manière illicite, fait croire à des faits faux ou dissimule des faits vrais, alors que ceux-ci sont déterminants pour la décision de son partenaire de conclure le contrat ou, à tout le moins, de le conclure aux conditions convenues ( ATF 132 II 161 consid. 4.1 p. 165 s.). Savoir dans quelles circonstances se sont déroulés les pourparlers, respectivement la conclusion du contrat, et s'il y a eu un comportement trompeur de la part d'une partie relève des constatations de fait (arrêt 4C.227/2003 du 9 décembre 2004 consid. 5.3.1). Il incombe à celui qui invoque un dol pour échapper aux conséquences d'un acte juridique d'apporter la preuve qu'il y a eu une tromperie et que celle-ci l'a déterminé à contracter (cf. ATF 129 III 320 consid. 6.3 p. 327;Bruno Schmidlin, in Commentaire romand, CO I, 2003, n° 49 ad art. 28 CO ; du même auteur, in Berner Kommentar, 1995, n° 171 ad art. 28 CO ; Ingeborg Schwenzer, in Basler Kommentar, OR I, 4e éd. 2007, n° 26 ad art. 28 CO ; Max Kummer, in Berner Kommentar, 1962, n° 292 ad art. 8 CC ; Hans Schmid, in Basler Kommentar, ZGB I, 3e éd. 2006, n° 61 ad art. 8 CC ). Ainsi, la cour cantonale n'a pas violé les règles du droit fédéral sur le fardeau de la preuve ( art. 8 CC ) en admettant qu'il incombait au recourant de prouver qu'il avait été victime d'une tromperie ou qu'il se trouvait dans l'erreur au moment de signer l'avenant. Même à lire le recours, on ne voit pas que l'intimé ait, de manière illicite, affirmé un fait faux, dissimulé un fait vrai ou conforté une erreur préexistante (cf. art. 146 al. 1 CP ). La cour cantonale n'a donc pas apprécié les preuves de manière arbitraire en concluant qu'il n'y avait pas eu d'acte de tromperie. En l'absence de tromperie, c'est à juste titre qu'elle a écarté le moyen tiré du dol ( art. 28 CO ). Le recourant n'a pas réussi à prouver qu'il aurait signé l'avenant sans le lire. Il n'a pu produire à ce sujet aucun témoin et il apparaît totalement invraisemblable qu'un entrepreneur signe un avenant à un contrat de société sans même le lire, même s'il a des rapports d'amitié avec son cocontractant et s'il n'a pas d'expérience dans la gestion des bars. En considérant cette version des faits comme non prouvée, la cour cantonale n'a pas apprécié les preuves de manière arbitraire. Dès lors qu'il faut admettre que le recourant a lu le contrat avant de le signer, on ne peut pas imaginer qu'il ait été dans l'erreur sur sa portée. Ce document bref (deux pages), clairement intitulé "Avenant au contrat de société", indique clairement qu'il s'agit de mettre fin au contrat de société signé le 8 février 2000 et que le recourant doit recevoir des sommes d'argent destinées à solder les prétentions qu'il pourrait avoir en raison de ses mises de fonds ou autres investissements dans le bar. En concluant qu'il n'était pas prouvé que le recourant ait été dans l'erreur au moment de signer ce document, la cour cantonale n'a pas apprécié les preuves de manière arbitraire.</w:t>
      </w:r>
    </w:p>
    <w:p>
      <w:r>
        <w:rPr>
          <w:b/>
        </w:rPr>
        <w:t>E. 2.5</w:t>
      </w:r>
    </w:p>
    <w:p>
      <w:r>
        <w:t>Le recourant tente de soutenir que, même si l'avenant est valable, il peut encore prétendre à des participations au bénéfice. Le grief est mal formulé en ce sens qu'il ne s'agit pas d'un problème d'arbitraire, mais d'application des règles du droit fédéral quant à l'interprétation des clauses contractuelles ( art. 18 CO ; sur les règles d'interprétation: ATF 135 III 410 consid. 3.2 p. 412 s.). Si la cour cantonale, procédant à une appréciation des preuves, a retenu que les parties se sont réellement mises d'accord, lors de la conclusion de l'avenant, sur les conditions de la dissolution de leur société simple, il s'agit d'une constatation de fait qui lie le Tribunal fédéral ( art. 105 al. 1 LTF ). Si l'on admet que la question est restée douteuse (l'erreur étant simplement non prouvée), il faut alors interpréter les dispositions contractuelles selon le principe de la confiance, ce qui constitue une question de droit que le Tribunal fédéral peut revoir librement. Même si l'on retient cette deuxième hypothèse qui est plus favorable au recourant, le moyen ne peut être que rejeté. En effet, l'avenant constitue clairement, comme le montre sa dénomination, une modification de l'accord initial et règle de manière complète les conditions de la dissolution de la société simple. Dès lors que le recourant, en signant ce document, a déclaré que les sommes à verser par l'intimé constituaient une contre-prestation appropriée pour tous ses investissements, il est clair qu'il ne peut pas prétendre à d'autres prestations. Le recourant ne peut pas se référer au contrat initial, puisque celui-ci a précisément été amendé par l'avenant, qui règle les conditions de la dissolution de la société simple. Bien que l'avenant prévoie que les relations entre les parties prendront fin au moment du dernier versement de l'intimé en octobre 2006, il est logique d'admettre - le recourant n'ayant plus fait d'apport ni assumé de dettes depuis la signature de l'avenant - que la société n'avait alors pas d'autre but que sa liquidation (par les versements de l'intimé) et que le recourant n'avait pas d'autres droits que ceux résultant de l'avenant dont le but est précisément de liquider les comptes entre les parties. La cour cantonale n'a donc pas davantage violé les règles de droit fédéral sur l'interprétation des manifestations de volonté. S'il est vrai que le recourant a signé un avenant qui se révèle défavorable pour lui, surtout en considérant l'évolution du cabaret-dancing, il n'en demeure pas moins lié par son accord et il ne peut s'en prendre qu'à lui-même.</w:t>
      </w:r>
    </w:p>
    <w:p>
      <w:r>
        <w:rPr>
          <w:b/>
        </w:rPr>
        <w:t>E. 3</w:t>
      </w:r>
    </w:p>
    <w:p>
      <w:r>
        <w:t>Il ressort des considérants qui précèdent que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