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4A_216/2024 vom 3. Oktober 2024</w:t>
      </w:r>
    </w:p>
    <w:p>
      <w:r>
        <w:t>Bundesgericht, 2024-10-03, FR</w:t>
      </w:r>
    </w:p>
    <w:p>
      <w:r>
        <w:rPr>
          <w:b/>
        </w:rPr>
        <w:t xml:space="preserve">Quelle: </w:t>
      </w:r>
      <w:r>
        <w:t>https://mcp.opencaselaw.ch/entscheid/bger_4A_216_2024</w:t>
      </w:r>
    </w:p>
    <w:p>
      <w:r>
        <w:t>FR: TF 4A_216/2024 du 3 octobre 2024</w:t>
      </w:r>
    </w:p>
    <w:p>
      <w:r>
        <w:t>IT: TF 4A_216/2024 del 3 ottobre 2024</w:t>
      </w:r>
    </w:p>
    <w:p>
      <w:pPr>
        <w:pStyle w:val="Heading2"/>
      </w:pPr>
      <w:r>
        <w:t>Erwägungen</w:t>
      </w:r>
    </w:p>
    <w:p>
      <w:r>
        <w:rPr>
          <w:b/>
        </w:rPr>
        <w:t>E. 1.1</w:t>
      </w:r>
    </w:p>
    <w:p>
      <w:r>
        <w:t>Interjeté en temps utile ( art. 100 al. 1 LTF ), compte tenu de la suspension durant les féries de Pâques ( art. 46 al. 1 let. a LTF ) et de l'échéance du délai tombant sur un dimanche ( art. 45 al. 1 LTF ), par la partie demanderesse qui a succombé dans ses conclusions en paiement ( art. 76 al. 1 LTF ), contre une décision finale ( art. 90 LTF ), rendue sur appel par le tribunal supérieur du canton de Genève ( art. 75 LTF ), dans une affaire de commission de courtage ( art. 72 al. 1 LTF ), dont la valeur litigieuse dépasse le montant de 30'000 fr. ( art. 74 al. 1 let. b LTF ), le recours en matière civile est recevable au regard de ces dispositions.</w:t>
      </w:r>
    </w:p>
    <w:p>
      <w:r>
        <w:rPr>
          <w:b/>
        </w:rPr>
        <w:t>E. 1.2</w:t>
      </w:r>
    </w:p>
    <w:p>
      <w:r>
        <w:t>En tant qu'elle plaide que la présente cause poserait une question juridique de principe en ce qui concerne le lien de causalité psychologique, la recourante perd de vue que la question de l'existence d'une question juridique de principe n'entre en jeu que lorsque la valeur litigieuse minimale pour le recours en matière civile n'est pas atteinte ( art. 74 al. 2 let. a LTF ). Vu la valeur du litige de 502'200 fr., cette question ne se pose donc clairement pas.</w:t>
      </w:r>
    </w:p>
    <w:p>
      <w:r>
        <w:rPr>
          <w:b/>
        </w:rPr>
        <w:t>E. 2.1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w:t>
      </w:r>
    </w:p>
    <w:p>
      <w:r>
        <w:t>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2.2</w:t>
      </w:r>
    </w:p>
    <w:p>
      <w:r>
        <w:t>Le Tribunal fédéral est lié par les constatations de l'arrêt attaqué ( art. 105 al. 1 LTF ), à moins qu'elles ne soient manifestement inexactes (art. 97 al. 1 et 105 al. 2 LTF), c'est-à-dire arbitraires au sens de l' art. 9 Cst. ( ATF 144 III 93 consid. 5.2).</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En cette matière également, il ne suffit pas que les motifs de la décision soient insoutenables, il faut encore que le résultant de celle-ci soit insoutenable.</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Si une partie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w:t>
      </w:r>
    </w:p>
    <w:p>
      <w:r>
        <w:rPr>
          <w:b/>
        </w:rPr>
        <w:t>E. 2.3</w:t>
      </w:r>
    </w:p>
    <w:p>
      <w:r>
        <w:t>Dans la mesure où la recourante reproche à la cour cantonale d'avoir omis sans motif sérieux de tenir compte de certains faits et moyens de preuve et se borne à les reprendre dans son état de fait, elle ne satisfait pas aux exigences posées par la jurisprudence pour obtenir le complètement de l'état de fait. La Cour de céans ne tiendra donc pas compte de cet exposé.</w:t>
      </w:r>
    </w:p>
    <w:p>
      <w:r>
        <w:rPr>
          <w:b/>
        </w:rPr>
        <w:t>E. 3</w:t>
      </w:r>
    </w:p>
    <w:p>
      <w:r>
        <w:t>Seules demeurent parties à la procédure devant le Tribunal fédéral, la société A.________ Sàrl, demanderesse et recourante, les héritiers vendeurs et l'exécutrice testamentaire, défendeurs et intimés, et la société B.________ SA intervenante et intimée. Alors que la société demanderesse, représentée par L.________, et l'intervenante principale (Q.________ et R.________) prétendaient toutes deux avoir droit à la commission de courtage due par les vendeurs, la cour cantonale a nié tout droit de la demanderesse à une commission et, faute d'appel des vendeurs, a ordonné la libération du montant consigné en faveur de la société intervenante, courtière officielle des vendeurs.</w:t>
      </w:r>
    </w:p>
    <w:p>
      <w:r>
        <w:rPr>
          <w:b/>
        </w:rPr>
        <w:t>E. 3.1</w:t>
      </w:r>
    </w:p>
    <w:p>
      <w:r>
        <w:t>Avant d'examiner les griefs de la recourante, il s'impose de rappeler quelques principes jurisprudentiels en matière de contrat de courtage.</w:t>
      </w:r>
    </w:p>
    <w:p>
      <w:r>
        <w:rPr>
          <w:b/>
        </w:rPr>
        <w:t>E. 3.1.1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w:t>
      </w:r>
    </w:p>
    <w:p>
      <w:r>
        <w:t>Sauf convention spéciale, la conclusion d'un contrat de courtage n'est soumise à aucune exigence de forme. Elle peut résulter de déclarations expresses des parties ou d'actes concluants (arrêt 4A_411/2021 du 27 juillet 2022 consid. 5.1; ATF 139 III 217 consid. 2.3; 131 III 268 consid. 5.1.2).</w:t>
      </w:r>
    </w:p>
    <w:p>
      <w:r>
        <w:t>La question de savoir si un contrat de courtage a été valablement conclu par actes concluants dépend des circonstances, dont on doit pouvoir déduire que les parties se sont accordées sur les essentialia de ce contrat, en particulier sur le fait que le mandant s'est engagé envers le courtier à lui verser un salaire. Une retenue est de mise lorsqu'il s'agit d'admettre la conclusion d'un tel contrat par actes concluants ( ATF 139 III 217 consid. 2.3; 131 III 268 consid. 5.1.2; arrêts 4A_411/2021 du 27 juillet 2022 consid. 5.1; 4A_80/2021 du 9 novembre 2021 consid. 3). Le seul fait de laisser agir le courtier ne conduit pas nécessairement à admettre la conclusion d'un contrat par actes concluants. Il faut que le mandant tolère sciemment l'activité du courtier, sans s'y opposer, ou bien qu'il l'accepte tacitement par une autre forme. Il faut aussi que l'activité du courtier, par sa durée ou par son importance, soit suffisamment nette et caractérisée pour que l'absence d'opposition puisse être interprétée comme une volonté de conclure un contrat de courtage (arrêts 4A_411/2021 précité consid. 5.1; 4A_307/2018 du 10 octobre 2018 consid. 4.1; 4C.70/2003 du 6 juin 2003 consid. 3.1; 4C.54/2001 du 9 avril 2002 consid. 2a).</w:t>
      </w:r>
    </w:p>
    <w:p>
      <w:r>
        <w:rPr>
          <w:b/>
        </w:rPr>
        <w:t>E. 3.1.2</w:t>
      </w:r>
    </w:p>
    <w:p>
      <w:r>
        <w:t>Conformément aux principes généraux applicables tant à l'interprétation qu'à la conclusion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3.1.3</w:t>
      </w:r>
    </w:p>
    <w:p>
      <w:r>
        <w:t>Dans le domaine immobilier, le fait pour un courtier de conclure un contrat de courtage de négociation avec le vendeur (respectivement l'acheteur) d'un bien-fonds entraîne inévitablement un conflit d'intérêts s'il conclut avec l'acheteur (respectivement le vendeur) un second courtage de négociation. Conformément à l'art. 415 in fine CO, les deux contrats de courtage sont nuls et le courtier perd son droit au salaire en rapport avec les deux conventions ( ATF 141 III 64 consid. 4.1 - 4.3).</w:t>
      </w:r>
    </w:p>
    <w:p>
      <w:r>
        <w:rPr>
          <w:b/>
        </w:rPr>
        <w:t>E. 3.2</w:t>
      </w:r>
    </w:p>
    <w:p>
      <w:r>
        <w:t>Dans l'arrêt attaqué, la cour cantonale a constaté tout d'abord que la demanderesse n'a pas été liée avec les vendeurs par un contrat de courtage écrit ou oral, faute de discussions entre elles sur les éléments essentiels d'un tel contrat, en particulier sur la rémunération de la demanderesse. Ce point n'est pas remis en cause par les parties.</w:t>
      </w:r>
    </w:p>
    <w:p>
      <w:r>
        <w:t>Puis, pour déterminer si la demanderesse et les vendeurs avaient conclu un contrat de courtage par actes concluants, la cour cantonale a examiné si la demanderesse avait conclu avec eux un contrat de courtage (cf. consid. 3.3 ci-dessous) ou si elle n'avait pas plutôt représenté les sociétés acheteuses (cf. consid. 3.4 ci-dessous).</w:t>
      </w:r>
    </w:p>
    <w:p>
      <w:r>
        <w:rPr>
          <w:b/>
        </w:rPr>
        <w:t>E. 3.3.1</w:t>
      </w:r>
    </w:p>
    <w:p>
      <w:r>
        <w:t>En ce qui concerne la relation entre la demanderesse et les vendeurs, la cour cantonale a déduit du comportement du gérant de la demanderesse, qui n'a pas manifesté qu'il agissait en qualité de courtier, et de celui des vendeurs, qui avaient manifesté par leur exécutrice testamentaire qu'ils ne voulaient pas étendre le cercle des courtiers officiels, que ceux-ci n'ont pas toléré une activité de courtier de la part de la demanderesse. Le simple fait que l'exécutrice testamentaire ne se soit pas opposée aux recherches de la demanderesse, qui voulait étudier l'intérêt de la parcelle, et le fait qu'elle n'ait pas réagi au courriel du gérant de la demanderesse du 29 septembre 2016 ne valent pas acceptation par tolérance de la conclusion d'un contrat de courtage entre les vendeurs et la demanderesse.</w:t>
      </w:r>
    </w:p>
    <w:p>
      <w:r>
        <w:rPr>
          <w:b/>
        </w:rPr>
        <w:t>E. 3.3.2</w:t>
      </w:r>
    </w:p>
    <w:p>
      <w:r>
        <w:t>A cette motivation, la recourante ne fait qu'opposer un grief d'arbitraire ( art. 97 LTF en lien avec l' art. 9 Cst. ). Elle soutient que l'exécutrice testamentaire a accepté immédiatement l'offre venant de la part des acheteuses qu'elle avait trouvées, qu'elle ne lui a pas dit de s'adresser aux courtiers officiels, que la vente a abouti grâce à son gérant, qui était présent lors de la signature de l'instrumentation de la vente, même s'il n'a pas remis sa facture, qu'elle n'avait pas de contrat de courtage avec les acheteurs et que donc l'exécutrice aurait toléré son activité de courtière. Ce faisant, elle ne démontre pas en quoi l'appréciation de la cour cantonale serait arbitraire: elle ne prétend ni que son gérant a sollicité d'être mandaté, ni qu'en droit suisse, le silence, dont elle ne précise même pas à quelle demande de sa part il serait opposé, vaudrait acceptation. En réalité, comme on le verra ci-après, la recourante veut déduire du seul fait d'avoir fait une offre, qu'un contrat de courtage aurait été conclu, ce qui est un grief de droit (cf. consid. 3.5.2 ci-dessous).</w:t>
      </w:r>
    </w:p>
    <w:p>
      <w:r>
        <w:t>Le grief est donc irrecevable.</w:t>
      </w:r>
    </w:p>
    <w:p>
      <w:r>
        <w:rPr>
          <w:b/>
        </w:rPr>
        <w:t>E. 3.4.1</w:t>
      </w:r>
    </w:p>
    <w:p>
      <w:r>
        <w:t>Examinant la relation entre la demanderesse et les deux sociétés acheteuses et se basant sur les déclarations mêmes du gérant de la demanderesse et sur le comportement de celui-ci, la cour cantonale a retenu que la demanderesse n'a pas exercé d'activité en faveur des vendeurs, mais uniquement en faveur des sociétés acheteuses.</w:t>
      </w:r>
    </w:p>
    <w:p>
      <w:r>
        <w:t>Tout d'abord, elle a constaté que dans l'offre des acheteuses communiquée par courriel et par courrier du 15 septembre 2016, la demanderesse a présenté les acheteuses comme étant "mes mandants", ce qui prouve qu'elle se considérait comme liée à celles-ci, et non aux vendeurs. En tant que professionnelle de l'immobilier, elle ne pouvait ignorer la signification du terme "mandants". Ensuite, elle a estimé que les vérifications que son gérant a faites auprès de l'exécutrice testamentaire, pour que "rien ne nous échappe", en ce qui concerne l'existence de servitudes notamment, les termes utilisés démontrent également que celui-ci oeuvrait dans l'intérêt des sociétés acheteuses. Enfin, la cour a pris en considération que, dans son courrier du 29 septembre 2016, ce gérant a indiqué avoir effectué toute l'étude de faisabilité (géomètre, paysagiste, architecte) "pour le compte des acheteuses" et que son père K.________, représentant une des sociétés acheteuses, a d'ailleurs expliqué que son fils avait présenté l'offre d'achat pour lui, son père, ce qui démontre aussi que la demanderesse a agi comme représentante des sociétés acheteuses.</w:t>
      </w:r>
    </w:p>
    <w:p>
      <w:r>
        <w:rPr>
          <w:b/>
        </w:rPr>
        <w:t>E. 3.4.2</w:t>
      </w:r>
    </w:p>
    <w:p>
      <w:r>
        <w:t>Lorsqu'elle soutient que la cour retiendrait arbitrairement, à sa charge et avec une partialité arbitraire, les termes dont elle s'est servie alors que les termes de mandant/client sont utilisés dans la pratique sans signification juridique, qu'il y a toujours dans la vente d'un immeuble "double courtage", et que son interprétation imputerait à son gérant un sens que celui-ci ne lui attribuait pas, la recourante ne démontre aucun arbitraire. Elle méconnaît plutôt que ces trois courriels de son gérant, au-delà du terme mandant/client, laissent clairement apparaître qu'elle se souciait des intérêts des acheteuses. Ces courriels sont clairs et ne nécessitent aucune autre interprétation. En outre, la recourante semble méconnaître qu'un courtier ne saurait représenter à la fois le vendeur et l'acheteur, le double courtage étant nul.</w:t>
      </w:r>
    </w:p>
    <w:p>
      <w:r>
        <w:t>Le grief doit être rejeté dans la mesure où il est recevable.</w:t>
      </w:r>
    </w:p>
    <w:p>
      <w:r>
        <w:rPr>
          <w:b/>
        </w:rPr>
        <w:t>E. 3.5.1</w:t>
      </w:r>
    </w:p>
    <w:p>
      <w:r>
        <w:t>Écartant l'objection de la demanderesse appelante, la cour cantonale a considéré que le fait que, sans l'offre de la demanderesse, la vente ne se serait pas faite, ne suffit pas pour admettre un contrat de courtage de la part des vendeurs. Les vendeurs aussi bien que les acheteuses avaient un intérêt à conclure la vente, comme l'a relevé le père du gérant de la demanderesse. Si la demanderesse a contribué à la vente, c'est en faveur des acheteuses; les vendeurs n'ont donc pas à la rémunérer.</w:t>
      </w:r>
    </w:p>
    <w:p>
      <w:r>
        <w:rPr>
          <w:b/>
        </w:rPr>
        <w:t>E. 3.5.2</w:t>
      </w:r>
    </w:p>
    <w:p>
      <w:r>
        <w:t>Sous le titre de violation des art. 8 CC , 412 et 413 CO, la recourante soutient que la cour cantonale aurait nié la conclusion d'un contrat de courtage uniquement parce qu'elle a considéré qu'elle, la recourante, aurait agi pour le compte des acheteurs. C'est oublier que la cour a retenu, sans arbitraire, en fait, que le gérant de la demanderesse ne s'était jamais présenté à l'exécutrice testamentaire comme agissant ou voulant agir comme courtier des vendeurs et que, par ses déclarations, il a manifesté agir pour la demanderesse en tant que représentante des sociétés acheteuses, l'une des sociétés acheteuses ayant d'ailleurs son père pour associé-gérant. Sur la base de ces faits, retenus sans arbitraire, il ne saurait y avoir ni violation de l' art. 8 CC , la cour étant parvenue à un résultat en fait, ni de violation des art. 412-413 CO , la présentation d'une offre des acheteuses ne permettant pas de conclure à une relation de courtage entre les vendeurs et la demanderesse. D'ailleurs, contrairement à ce que croit la recourante, un double courtage est nul: la demanderesse ne peut pas représenter les acheteuses, dont elle a présenté l'offre, et, simultanément, être courtière des vendeurs. Et, dans ces circonstances elle ne saurait reprocher à l'exécutrice testamentaire de ne pas l'avoir renvoyée à s'adresser aux courtiers officiels. Enfin, la recourante ne peut rien tirer en sa faveur de la citation, hors de son contexte, de FRANÇOIS RAYROUX, Commentaire romand I, 3e éd., Bâle 2021, n. 18: la conclusion de la vente n'entraîne pas la conclusion du contrat de courtage; la conclusion de ce contrat par actes concluants obéit aux règles générales sur la conclusion du contrat (cf. consid. 3.1.1 ci-dessus).</w:t>
      </w:r>
    </w:p>
    <w:p>
      <w:r>
        <w:t>Il s'ensuit que le grief de violation du droit matériel est infondé.</w:t>
      </w:r>
    </w:p>
    <w:p>
      <w:r>
        <w:rPr>
          <w:b/>
        </w:rPr>
        <w:t>E. 4</w:t>
      </w:r>
    </w:p>
    <w:p>
      <w:r>
        <w:t>La recourante fait encore valoir une violation de l' art. 57 CPC , soit de la règle de l'application du droit d'office, reprochant à la cour cantonale de n'avoir pas examiné si l'activité de l'intervenante principale avait été causale pour la conclusion de la vente de la parcelle.</w:t>
      </w:r>
    </w:p>
    <w:p>
      <w:r>
        <w:rPr>
          <w:b/>
        </w:rPr>
        <w:t>E. 4.1</w:t>
      </w:r>
    </w:p>
    <w:p>
      <w:r>
        <w:t>Dans les procès soumis à l'autonomie des parties, l'existence du procès et son objet sont régis par le principe de disposition: le tribunal ne peut accorder à une partie ni plus ni autre chose que ce qui est demandé, ni moins que ce qui est reconnu par la partie adverse ( art. 58 al. 1 CPC ). Le corollaire de ce principe en matière d'établissement des faits est la maxime des débats ( art. 55 al. 1 CPC ). Lorsque le procès est ainsi régi par la maxime des débats, le tribunal n'applique d'office le droit qu'aux faits allégués et prouvés, étant lié par le cadre que les parties ont assigné au litige.</w:t>
      </w:r>
    </w:p>
    <w:p>
      <w:r>
        <w:t>Ces principes sont également applicables en procédure de recours, par exemple en appel. Chaque partie décide librement si elle veut interjeter un recours, peu importe qu'elle dispose ou non de l'objet du litige ( ATF 137 III 617 consid. 4.5.3). Il en découle que toute juridiction de recours est liée par les conclusions prises par les parties: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 (arrêts 4A_110/2021 du 28 février 2022 consid. 1.2; 4A_54/2017 du 29 janvier 2018 consid. 1.3.1; ATF 134 III 151 consid. 3.2; 129 III 417 consid. 2.1.1 et les arrêts cités).</w:t>
      </w:r>
    </w:p>
    <w:p>
      <w:r>
        <w:rPr>
          <w:b/>
        </w:rPr>
        <w:t>E. 4.2</w:t>
      </w:r>
    </w:p>
    <w:p>
      <w:r>
        <w:t>En première instance, le litige a porté sur la question de savoir qui, de la demanderesse ou de l'intervenante, avait droit à la commission de courtage, dont le montant avait été consigné (Prätendentenstreit). Par jugement du 21 décembre 2022, le Tribunal de première instance a rejeté la demande de la demanderesse et de sa consort simple (ch. 1), a constaté que l'intervenante principale, courtière officielle, est l'unique ayant droit du montant consigné de 502'200 fr., avec les intérêts générés depuis lors (ch. 2) et a ordonné la libération de ce montant en mains de celle-ci (ch. 3).</w:t>
      </w:r>
    </w:p>
    <w:p>
      <w:r>
        <w:t>Saisie d'un appel de la seule demanderesse, qui a conclu à la condamnation des vendeurs à lui payer le montant de la commission de courtage et, partant, à la libération du montant consigné en ses mains, la cour cantonale s'est à raison limitée à statuer sur les conclusions de l'appel de la demanderesse. En l'absence de tout appel des vendeurs, ce qui s'explique d'ailleurs puisqu'ils avaient consigné le montant de la commission, la cour cantonale n'avait pas à statuer sur autre chose, sous peine de violer le principe de disposition. C'est dans ce sens que l'on peut confirmer la décision de la cour cantonale, en dépit de sa formulation qui parle de "défaut d'intérêt de la demanderesse à contester l'attribution de la commission de courtage à B.________ SA et [du fait que] la libération en mains de cette dernière du montant de la commission n'a pas été contestée par les autres parties". Le rejet de l'appel de la demanderesse entraînait donc la confirmation du premier jugement en ce qu'il a constaté que la commission était due à l'intervenante principale et qu'il a ordonné la libération du montant consigné avec intérêts en mains de celle-ci.</w:t>
      </w:r>
    </w:p>
    <w:p>
      <w:r>
        <w:t>Le grief de la recourante est infondé.</w:t>
      </w:r>
    </w:p>
    <w:p>
      <w:r>
        <w:rPr>
          <w:b/>
        </w:rPr>
        <w:t>E. 5</w:t>
      </w:r>
    </w:p>
    <w:p>
      <w:r>
        <w:t>En ce qui concerne la fixation des dépens d'appel, la recourante invoque la violation de l' art. 105 al. 2 CPC et de l' art. 29 al. 2 Cst. , ainsi que l'arbitraire dans l'application du droit cantonal.</w:t>
      </w:r>
    </w:p>
    <w:p>
      <w:r>
        <w:rPr>
          <w:b/>
        </w:rPr>
        <w:t>E. 5.1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5A_1065/2020 du 2 décembre 2021 consid. 8.2; 5A_612/2019 du 10 septembre 2021 consid. 3.1).</w:t>
      </w:r>
    </w:p>
    <w:p>
      <w:r>
        <w:t>Selon la jurisprudence, la motivation du montant alloué à une partie à titre de dépens n'est en principe pas nécessaire lorsque l'autorité s'en tient aux limites du tarif applicable et que les parties n'allèguent aucune circonstance particulière ( ATF 139 V 496 consid. 5.1; 111 Ia 1 consid. 2a; 93 I 116 consid. 2; arrêts 5A_756/2022 du 20 février 2023 consid. 6.2.1; 4A_296/2021 du 7 septembre 2021 consid. 5.2.2).</w:t>
      </w:r>
    </w:p>
    <w:p>
      <w:r>
        <w:rPr>
          <w:b/>
        </w:rPr>
        <w:t>E. 5.2</w:t>
      </w:r>
    </w:p>
    <w:p>
      <w:r>
        <w:t>La cour cantonale a d'abord fixé les frais judiciaires à 36'000 fr., conformément aux art. 17 et 35 du Règlement genevois fixant le tarif des frais en matière civile du 22 décembre 2010 (RTFMC/GE; RSGE E 1 05.10); puis, elle a fixé les dépens dus, d'une part, aux vendeurs et à l'exécutrice testamentaire, créanciers solidaires, à 35'000 fr. (débours et TVA compris) et, d'autre part, à l'intervenante principale également à 35'000 fr., en se basant sur les art. 85 et 90 du Règlement précité et sur les art. 21 (recte: 20), 25 et 26 de la loi d'application genevoise du code civil suisse et d'autres lois fédérales en matière civile du 11 octobre 2012 (LaCC/GE; RSGE E 1 05).</w:t>
      </w:r>
    </w:p>
    <w:p>
      <w:r>
        <w:t>Si la recourante n'a pas donné de chiffres dans ses conclusions, il résulte des motifs de son recours qu'elle veut qu'ils soient fixés entre 8'701 fr. 09 et 17'402 fr. 17, au lieu de 35'000 fr. Elle reproche à la cour cantonale de n'avoir pas motivé sa décision sur les dépens, en violation des art. 29 al. 2 Cst. et 26 al. 1 LaCC, alors même qu'elle n'a pas respecté les limites du tarif genevois applicable, allant bien au-delà de celles-ci. Elle expose que, selon l'art. 85 al. 1 RTFMC, le montant de base en fonction de la valeur litigieuse devrait être de 23'444 fr. (soit 19'400 + 4'044 fr. [2% de 202'200 fr.]) et qu'en vertu de l'art. 90 RTFMC, il devrait être réduit d'un à deux tiers pour la procédure d'appel. En ajoutant les débours de 3 % selon l'art. 25 LaCC et la TVA de 8,1 %, le total des dépens devrait se situer entre 8'701 fr. 09 (avec une réduction de deux tiers) et 17'402 fr. 09 (avec une réduction de 1/3). Or, la cour cantonale l'a condamnée à payer 35'000 fr. aux défendeurs et 35'000 fr. à l'intervenante, soit au total 70'000 fr. sans aucune motivation.</w:t>
      </w:r>
    </w:p>
    <w:p>
      <w:r>
        <w:t>L'intervenante intimée soutient que, selon l'art. 85 al. 1 RTFMC, le juge peut toujours s'écarter des chiffres indiqués de plus ou moins 10 %, que, selon l'art. 90 RTFMC, la réduction n'est pas une obligation ("dans la règle") et que, citant l'art. 23 LaCC, l'appel et la réplique de la demanderesse étaient particulièrement prolixes.</w:t>
      </w:r>
    </w:p>
    <w:p>
      <w:r>
        <w:t>Les défendeurs intimés citent eux aussi l'art. 23 LaCC, tout en concluant qu'ils s'en rapportent à justice, estimant que la réduction selon l'art. 90 RTFMC ne devrait pas dépasser 1/3, compte tenu de la pluralité des parties et de plusieurs échanges d'écritures et que les dépens ne sauraient être inférieurs à 17'364 fr.</w:t>
      </w:r>
    </w:p>
    <w:p>
      <w:r>
        <w:rPr>
          <w:b/>
        </w:rPr>
        <w:t>E. 5.3</w:t>
      </w:r>
    </w:p>
    <w:p>
      <w:r>
        <w:t>Force est de constater que la fixation du montant des dépens de l'arrêt cantonal est insuffisamment motivée au regard de l' art. 29 al. 2 Cst. , la cour cantonale s'étant écartée des règles des art. 85 al. 1 et 90 RTFMC et n'ayant pas cité l'art. 23 LaCC ("cas spéciaux") en indiquant en quoi il y aurait une disproportion manifeste entre la valeur litigieuse et l'intérêt des parties ou entre le taux applicable selon la loi et le travail effectif de l'avocat.</w:t>
      </w:r>
    </w:p>
    <w:p>
      <w:r>
        <w:t>Le recours doit donc être admis sur ce point.</w:t>
      </w:r>
    </w:p>
    <w:p>
      <w:r>
        <w:rPr>
          <w:b/>
        </w:rPr>
        <w:t>E. 6</w:t>
      </w:r>
    </w:p>
    <w:p>
      <w:r>
        <w:t>Au vu de ce qui précède, le recours doit être très partiellement admis et l'arrêt attaqué annulé en tant qu'il condamne la demanderesse à verser des dépens d'appel de 35'000 fr. aux défendeurs intimés, créanciers solidaires, et de 35'000 fr. à l'intervenante principale. Il est rejeté pour le surplus dans la mesure où il est recevable ( art. 66 al. 1 LTF ). La recourante versera une indemnité tant aux défendeurs intimés qu'à l'intervenante principale intimée à titre de dépens réduits. La recourante succombant sur le montant de la commission et ayant gain de cause sur les dépens d'appel, les frais judiciaires seront répartis à raison de 85 % à la charge de la recourante et de 15 % à la charge des intimés ( art. 68 al. 1 LTF ). L'indemnité de dépens de 9'000 fr. qui aurait dû être versée à chaque partie adverse en cas de gain total du recours sera réduite dans la même proportion que celle des frais judiciaires (cf. GRÉGORY BOVEY, in Commentaire de la LTF, 3e éd., Berne 2022, n. 42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