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215/2022 vom 23. August 2022</w:t>
      </w:r>
    </w:p>
    <w:p>
      <w:r>
        <w:t>Bundesgericht, 2022-08-23, FR</w:t>
      </w:r>
    </w:p>
    <w:p>
      <w:r>
        <w:rPr>
          <w:b/>
        </w:rPr>
        <w:t xml:space="preserve">Quelle: </w:t>
      </w:r>
      <w:r>
        <w:t>https://mcp.opencaselaw.ch/entscheid/bger_4A_215_2022</w:t>
      </w:r>
    </w:p>
    <w:p>
      <w:r>
        <w:t>FR: TF 4A 215/2022 du 23 août 2022</w:t>
      </w:r>
    </w:p>
    <w:p>
      <w:r>
        <w:t>IT: TF 4A 215/2022 del 23 agosto 2022</w:t>
      </w:r>
    </w:p>
    <w:p>
      <w:pPr>
        <w:pStyle w:val="Heading2"/>
      </w:pPr>
      <w:r>
        <w:t>Regeste</w:t>
      </w:r>
    </w:p>
    <w:p>
      <w:r>
        <w:t>contrat de travail; harcèlement psychologique, | Droit des contrats</w:t>
      </w:r>
    </w:p>
    <w:p>
      <w:pPr>
        <w:pStyle w:val="Heading2"/>
      </w:pPr>
      <w:r>
        <w:t>Erwägungen</w:t>
      </w:r>
    </w:p>
    <w:p>
      <w:r>
        <w:rPr>
          <w:b/>
        </w:rPr>
        <w:t>E. 1</w:t>
      </w:r>
    </w:p>
    <w:p>
      <w:r>
        <w:t>Interjeté dans le délai fixé par la loi ( art. 100 al. 1 et art. 46 al. 1 let. a LTF ) par la défenderesse, qui a succombé dans ses conclusions ( art. 76 al. 1 LTF ), et dirigé contre une décision finale ( art. 90 LTF ) rendue sur appel par le tribunal supérieur du canton de Vaud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2.3.1</w:t>
      </w:r>
    </w:p>
    <w:p>
      <w:r>
        <w:t>Dans une première partie s'étendant sur sept pages et intitulée " Résumé des faits topiques essentiel s sur le plan chronologique ressortant exclusivement de la partie ' en fait ' de l'arrêt d'appel [...] ", la recourante a cru bon de rappeler les faits pertinents de la cause. En tant qu'elle n'y soutient ni n'y établit que l'état de fait constaté par la cour cantonale serait arbitraire, il ne sera pas tenu compte de cet exposé.</w:t>
      </w:r>
    </w:p>
    <w:p>
      <w:r>
        <w:rPr>
          <w:b/>
        </w:rPr>
        <w:t>E. 2.3.2</w:t>
      </w:r>
    </w:p>
    <w:p>
      <w:r>
        <w:t>Dans une deuxième partie portant le titre " Autres faits ressortant positivement et négativement de l'état de fait établi par la CACI, cas échéant par le Tribunal de première instance sans avoir été expressément écartés par la CACI ", la recourante invoque que l'intimé n'aurait ni allégué ni établi avoir utilisé la procédure interne applicable, selon elle, en cas de mobbing et que la cour cantonale n'a pas retenu cet élément dans son état de fait alors qu'elle aurait mentionné dans son appel qu'il s'agissait " d'un élément pertinent de [sic] démontrer l'absence de harcèlement moral de M. F.________ après son transfert d'atelier ". Dans la mesure où elle n'indique pas pourquoi l'absence éventuelle de respect de cette procédure permettrait de conclure à l'absence de harcèlement envers l'intimé, la recourante ne démontre pas que ce fait serait susceptible d'influer sur le sort de la cause. Son argument est donc irrecevable. Il en va de même de son allégation appellatoire selon laquelle le fait que le travailleur ne serait pas retourné sur son lieu de travail après le 7 janvier 2015 l'aurait empêchée de prendre des mesures à l'égard notamment de F.________. Ce faisant, elle perd de vue qu'elle aurait pu prendre des mesures avant cette date. Son allégation contredit par ailleurs le reste de son recours, dans lequel elle affirme que l'intimé n'a pas fait l'objet de harcèlement (cf. infra consid. 3).</w:t>
      </w:r>
    </w:p>
    <w:p>
      <w:r>
        <w:rPr>
          <w:b/>
        </w:rPr>
        <w:t>E. 3</w:t>
      </w:r>
    </w:p>
    <w:p>
      <w:r>
        <w:t>Dans un premier temps, la recourante reproche à la cour cantonale d'avoir retenu que le demandeur intimé avait fait l'objet de harcèlement après son changement d'atelier.</w:t>
      </w:r>
    </w:p>
    <w:p>
      <w:r>
        <w:rPr>
          <w:b/>
        </w:rPr>
        <w:t>E. 3.1</w:t>
      </w:r>
    </w:p>
    <w:p>
      <w:r>
        <w:t>L' art. 328 al. 1 CO impose à l'employeur de protéger et respecter, dans les rapports de travail, la personnalité du travailleur. Le harcèlement psychologique, ou mobbing, constitue une violation de l' art. 328 CO .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4A_310/2019 du 10 juin 2020 consid. 4.1.1; 4A_714/2014 du 22 mai 2015 consid. 2.2; 4A_381/2014 du 3 février 2015 consid. 5.1; 4A_680/2012 du 7 mars 2013 consid. 5.2; 4A_381/2011 du 24 octobre 2011 consid. 4; 4C.343/2003 du 13 octobre 2004 consid. 3.1). Le Tribunal fédéral concède une marge d'appréciation au juge appelé à déterminer, sur la base des circonstances d'espèce, si les indices réunis permettent ou non de retenir un tel mobbing (arrêts 4A_310/2019 précité consid. 4.1.1; 4A_32/2010 du 17 mai 2010 consid. 3.3.4; 4A_245/2009 du 6 avril 2010 consid. 4.3.3).</w:t>
      </w:r>
    </w:p>
    <w:p>
      <w:r>
        <w:rPr>
          <w:b/>
        </w:rPr>
        <w:t>E. 3.2</w:t>
      </w:r>
    </w:p>
    <w:p>
      <w:r>
        <w:t>La cour cantonale a considéré que les premiers juges pouvaient tenir compte des déclarations du demandeur, dans la mesure où celles-ci étaient corroborées par d'autres moyens de preuve. Tel était le cas des témoignages de D.________, qui avait décrit F.________ comme quelqu'un de fourbe qui ne lui inspirait pas confiance, de E.________, qui avait évoqué l'existence d'un contexte hostile, un manque de considération et une approche occasionnant des tensions, le demandeur étant " le bouc-émissaire de F.________ " et le témoin ayant par ailleurs entendu de la part de celui-ci des remarques concernant la couleur de peau d'autres collaborateurs, ou encore de O.________, qui avait confirmé que F.________ faisait preuve de racisme ordinaire et indiqué qu'il pouvait appeler une personne d'origine chinoise " la bridée ". Le rapport du Dr M.________, qui n'était pas le médecin traitant du demandeur et qui avait été mandaté par l'assurance perte de gain de la défenderesse, devait également être pris en compte comme élément corroborant les déclarations du demandeur. Partant, c'était à bon droit que le tribunal avait considéré que les déclarations du demandeur étaient crédibles s'agissant des propos et des agissements discriminatoires dont il avait été la victime. La cour cantonale a également retenu que le demandeur s'était à nouveau plaint du comportement de F.________ après son transfert dans un autre département, sa version étant corroborée par le témoignage de H.________. Le fait qu'à partir dudit transfert, le demandeur et F.________ n'avaient plus de rapports professionnels ne signifiait pas qu'aucun acte de harcèlement n'eût pu avoir lieu, dans la mesure où leurs ateliers respectifs avaient été réunis dans le même espace et où F.________ et le demandeur étaient susceptibles de se croiser, notamment en salle de pause, sur des machines ou le long d'un atelier, ce qui ressortait de trois témoignages.</w:t>
      </w:r>
    </w:p>
    <w:p>
      <w:r>
        <w:rPr>
          <w:b/>
        </w:rPr>
        <w:t>E. 3.3</w:t>
      </w:r>
    </w:p>
    <w:p>
      <w:r>
        <w:t>Dans deux griefs distincts, répétitifs et confus, la recourante conteste tout harcèlement de la part de F.________ envers l'intimé après que celui-ci a changé d'atelier le 1 er octobre 2013 et reproche à la cour cantonale d'avoir constaté arbitrairement les faits. En substance, elle invoque, premièrement, que " les juges précédents ont tenues [sic] pour crédibles les déclarations de l'intimé alors qu'il n'a même pas été interrogé par le Tribunal sur les faits de mobbing " retenus par la cour cantonale, le travailleur s'étant, selon elle, borné à confirmer de manière générale les allégués contenus dans ses écritures. Deuxièmement, elle soutient que les rapports d'expertise du Dr M.________ et les certificats médicaux du Dr K.________ ne constituent pas un " mode de preuve ", dans la mesure où ils ne vaudraient qu'allégation de partie et où le Dr M.________ se serait contenté de reprendre les plaintes subjectives de l'intimé. Troisièmement, elle avance que les témoins n'ont pas constaté directement les faits litigieux. Ainsi, tandis que D.________ se serait limité à décrire F.________ comme " fourbe qui ne lui inspirait pas confiance ", E.________ n'aurait évoqué, s'agissant de la période avant le transfert d'atelier de l'intimé, qu'un contexte hostile, un manque de considération et une approche occasionnant des tensions, l'intimé étant le bouc émissaire de F.________, et des remarques " concernant la couleur de peau mais d'autres collaborateurs ". Quant à O.________, elle " n'évoquait que le fait de [sic] F.________ faisait preuve de racisme ordinaire et qu'il indiquait qu'il pouvait appeler une personne d'origine chinoise ' la bridée ' ". Selon la recourante, la cour cantonale ne pouvait considérer que ces déclarations suffisaient à établir l'existence d'un harcèlement de la part de F.________ envers l'intimé après le changement d'atelier et cette déduction est arbitraire. Quatrièmement, la recourante argue que, dans son courrier du 16 janvier 2015 dans lequel il a, selon elle, évoqué pour la première fois le mobbing commis à son encontre, l'intimé n'aurait pas prétendu avoir été victime de harcèlement de la part de F.________ après son changement d'atelier. Il aurait au contraire mis en cause deux autres collaborateurs de la recourante. Enfin, la recourante considère pêle-mêle que l'expertise judiciaire ne confirme pas l'existence de mobbing, que l'intimé n'a pas prouvé de cas de harcèlement pour la période antérieure à son changement d'atelier et qu'elle a respecté ses obligations de protection de la personnalité de l'intimé, faisant à nouveau référence à des faits retenus par la cour cantonale.</w:t>
      </w:r>
    </w:p>
    <w:p>
      <w:r>
        <w:rPr>
          <w:b/>
        </w:rPr>
        <w:t>E. 3.4</w:t>
      </w:r>
    </w:p>
    <w:p>
      <w:r>
        <w:t>Les arguments de la recourante tombent à faux. Premièrement, comme cela ressort de l'arrêt entrepris, la recourante a soutenu devant la cour cantonale que " les premiers juges ne pouvaient pas se fonder sur les déclarations de l'intimé, interrogé comme partie, la force probante de ce moyen de preuve étant réduite ". La recourante ne conteste pas cet élément et ne peut pas désormais prétendre de bonne foi que l'intimé n'aurait pas été interrogé par le tribunal. Deuxièmement, la question de savoir si c'est à bon droit que la cour cantonale a pris en compte le rapport du Dr M.________ et les certificats médicaux du Dr K.________ peut rester ouverte, en tant que la cour cantonale ne les a utilisés que comme éléments corroborant les déclarations du demandeur. Troisièmement, la recourante erre lorsqu'elle affirme que les témoins n'ont pas directement constaté les faits litigieux. Comme l'a relevé à juste titre la cour cantonale, il s'agit ici de propos ou d'actes s'étant tenus entre le demandeur et F.________ pour lesquels une preuve stricte est impossible à rapporter. La prise en compte des témoignages pour examiner la crédibilité des propos du demandeur intimé - et non pour prouver directement les faits litigieux lors desquels seuls F.________ et l'intimé étaient présents - n'est donc pas arbitraire. Quatrièmement, la recourante ne s'en prend pas à l'appréciation de la cour cantonale, selon laquelle le fait que le demandeur intimé a continué à se plaindre, après son transfert, du comportement de F.________ est corroboré par le témoignage de H.________. Partant, son argument est sans consistance. En tout état de cause, le courrier litigieux n'est qu'un des éléments pris en considération par la cour cantonale et la recourante n'établit pas que la conclusion à laquelle la cour cantonale est parvenue sur la base desdits éléments serait arbitraire. Enfin, nul n'est besoin d'examiner les autres critiques de la recourante, appellatoires et sans substance, en tant qu'elles ne font qu'exposer le point de vue de la recourante et ne satisfont pas aux exigences de motivation de l'art. 42 al. 2 et de l' art. 106 al. 2 LTF . Les griefs de la recourante doivent être rejetés, dans la mesure de leur recevabilité. Sur la base des faits constatés sans arbitraire, la cour cantonale n'a donc pas violé le droit fédéral en considérant que le demandeur avait fait l'objet de harcèlement par F.________.</w:t>
      </w:r>
    </w:p>
    <w:p>
      <w:r>
        <w:rPr>
          <w:b/>
        </w:rPr>
        <w:t>E. 4</w:t>
      </w:r>
    </w:p>
    <w:p>
      <w:r>
        <w:t>Dans un second temps, la recourante conteste avoir failli à ses obligations et reproche à la cour cantonale d'avoir retenu que le congé était abusif.</w:t>
      </w:r>
    </w:p>
    <w:p>
      <w:r>
        <w:rPr>
          <w:b/>
        </w:rPr>
        <w:t>E. 4.1</w:t>
      </w:r>
    </w:p>
    <w:p>
      <w:r>
        <w:t>Selon l' art. 335 al. 1 CO ,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 ATF 136 III 513 consid. 2.3; 132 III 115 consid. 2.1; 131 III 535 consid. 4.1; 130 III 699 consid. 4.1). Selon l' art.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 art. 336c CO n'est pas abusive, à moins notamment que l'incapacité ne trouve sa cause dans une violation de ses obligations par l'employeur ( ATF 123 III 246 consid. 5; arrêts 4A_293/2019 du 22 octobre 2019 consid. 3.5.1; 4A_437/2015 du 4 décembre 2015 consid. 2.2.2; 4A_329/2011 du 11 octobre 2011 consid. 5; 4C.320/2005 du 20 mars 2006 consid. 3.2). Qu'il y ait mobbing n'implique pas automatiquement que le congé donné au travailleur est abusif; il faut examiner les conséquences du mobbing. Si le mobbing a provoqué chez le travailleur une baisse de rendement ou une période de maladie et s'il a été toléré par l'employeur en violation de son obligation résultant de l' art. 328 al. 1 CO , celui-ci ne peut pas en tirer argument pour licencier le travailleur, parce que cela reviendrait à invoquer ses propres fautes, soit l'absence de mesures efficaces contre le mobbing, pour en tirer avantage au détriment du travailleur, ce qui est contraire à la bonne foi ( ATF 125 III 70 consid. 2a; arrêts 4A_159/2016 du 1er décembre 2016 consid. 3.1; 4C.320/2005 du 20 mars 2006 consid. 3.2).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(arrêts 4A_437/2015 précité consid. 2.2.3 et les arrêts cités; 4A_316/2012 du 1 er novembre 2012 consid. 2.1). Déterminer quels sont les motifs réels d'une résiliation est une question de fait ( ATF 136 III 513 consid. 2.3; 131 III 535 consid. 4.3; 130 III 699 consid. 4.1). De même, l'incidence respective des divers motifs de résiliation en concours est une question qui relève de la causalité naturelle, et par conséquent du fait ( ATF 130 III 699 consid. 4.1 et les arrêts cités; arrêt 4A_437/2015 précité consid. 2.2.4). Ainsi, les constatations y relatives de l'autorité précédente lient le Tribunal fédéral, qui ne peut s'en écarter que si elles ont été établies de façon manifestement inexacte ou en violation du droit (arrêt 4A_437/2015 précité consid. 2.2.4 et les arrêts cités).</w:t>
      </w:r>
    </w:p>
    <w:p>
      <w:r>
        <w:rPr>
          <w:b/>
        </w:rPr>
        <w:t>E. 4.2</w:t>
      </w:r>
    </w:p>
    <w:p>
      <w:r>
        <w:t>À l'instar du tribunal, la cour cantonale a jugé que le congé était abusif. En substance, elle a considéré que le congé était motivé par les absences persistantes du demandeur découlant de ses incapacités de travail et que dites incapacités étaient liées au trouble de l'adaptation du demandeur. Quand bien même la défenderesse savait que le demandeur se trouvait en incapacité de travail en raison d'une dépression liée à un harcèlement sur son lieu de travail, elle l'a licencié sans avoir pris aucune mesure pour ramener une atmosphère saine et dénuée de toute forme de discrimination. Au contraire, en réponse au courrier du demandeur du 16 janvier 2015, la défenderesse a nié l'existence d'un harcèlement et exposé avoir étudié les allégations du demandeur et avoir entendu les personnes qu'il avait mises en cause; une telle réaction n'était pas suffisante au regard de l' art. 328 CO . En particulier, dans la mesure où plusieurs collaborateurs de la défenderesse ont confirmé le comportement de F.________ envers le demandeur, une investigation plus poussée lui aurait permis de constater ledit comportement. La seule mesure prise par la défenderesse, soit la mutation du demandeur dans un autre atelier en octobre 2013, a été suffisante un certain temps, jusqu'à ce que les deux ateliers concernés soient réunis dans le même hall et que le demandeur soit à nouveau confronté à F.________. En ne prenant alors aucune mesure à la suite des plaintes formulées par le demandeur, la défenderesse a violé son obligation découlant de l' art. 328 CO . La cour cantonale a jugé qu'en licenciant le demandeur le 25 juin 2015, soit une dizaine de jours seulement après l'échéance du délai de protection découlant de l' art. 336c CO , alors qu'elle savait que le demandeur se trouvait en incapacité de travail en raison d'une dépression liée aux problèmes rencontrés sur son lieu de travail, la défenderesse se prévalait de son propre comportement fautif, à savoir l'absence de prise de mesures durables et efficaces pour faire cesser la situation de mobbing dont le demandeur était victime, en violation de son devoir de protéger la personnalité de son employé découlant de l' art. 328 CO . La défenderesse ne pouvait tirer avantage de ce comportement au détriment du demandeur, le caractère abusif de la résiliation devant ainsi être confirmé. La défenderesse n'ayant pas remis en cause le montant de l'indemnité pour licenciement abusif retenu par les premiers juges, soit une indemnité équivalant à cinq mois de salaire, la cour cantonale n'a pas examiné ce point.</w:t>
      </w:r>
    </w:p>
    <w:p>
      <w:r>
        <w:rPr>
          <w:b/>
        </w:rPr>
        <w:t>E. 4.3</w:t>
      </w:r>
    </w:p>
    <w:p>
      <w:r>
        <w:t>La recourante soutient que le congé n'est pas abusif. Elle invoque qu'il n'existe aucun indice au sujet d'un procédé d'éviction de l'intimé et qu'elle a licencié celui-ci en raison de sa longue absence pour cause de maladie, soit du 8 janvier 2015 au 31 août 2015, et de la qualité moyenne de son travail s'expliquant par une problématique de consommation d'alcool constatée par l'expert judiciaire. La recourante conteste également avoir licencié l'intimé en raison de prétentions qu'il aurait fait valoir, dans la mesure où il n'existerait aucun lien de causalité entre la formulation par l'intimé de ses prétentions et son licenciement; le réel motif du congé était en effet lié, selon elle, à l'absence de longue durée de l'intimé.</w:t>
      </w:r>
    </w:p>
    <w:p>
      <w:r>
        <w:rPr>
          <w:b/>
        </w:rPr>
        <w:t>E. 4.4</w:t>
      </w:r>
    </w:p>
    <w:p>
      <w:r>
        <w:t>Or, la recourante ne conteste pas que l'absence de longue durée de l'intimé qu'elle invoque à l'appui de son congé, motif du reste constaté par la cour cantonale, est dû à l'environnement de travail de l'intimé. En ne remédiant pas à celui-ci, la recourante a violé son devoir de protection de la personnalité du travailleur au sens de l' art. 328 CO . Elle ne saurait dès lors, comme l'a jugé à bon droit la cour cantonale, se prévaloir de l'absence de l'intimé pour justifier son congé. Point n'est besoin d'examiner la question de savoir si le congé était motivé par des prétentions que l'intimé aurait fait valoir, dans la mesure où le motif du congé constaté par la cour et admis par la recourante réside dans l'absence de longue durée de l'intimé. Le grief doit être rejeté.</w:t>
      </w:r>
    </w:p>
    <w:p>
      <w:r>
        <w:rPr>
          <w:b/>
        </w:rPr>
        <w:t>E. 5</w:t>
      </w:r>
    </w:p>
    <w:p>
      <w:r>
        <w:t>Au vu de ce qui précède, le recours doit être rejeté, dans la mesure de sa recevabilité. Les frais judiciaires seront mis à la charge de la recourante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