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215/2009 vom 6. August 2009</w:t>
      </w:r>
    </w:p>
    <w:p>
      <w:r>
        <w:t>Bundesgericht, 2009-08-06, FR</w:t>
      </w:r>
    </w:p>
    <w:p>
      <w:r>
        <w:rPr>
          <w:b/>
        </w:rPr>
        <w:t xml:space="preserve">Quelle: </w:t>
      </w:r>
      <w:r>
        <w:t>https://mcp.opencaselaw.ch/entscheid/bger_4A_215_2009</w:t>
      </w:r>
    </w:p>
    <w:p>
      <w:r>
        <w:t>FR: TF 4A 215/2009 du 6 août 2009</w:t>
      </w:r>
    </w:p>
    <w:p>
      <w:r>
        <w:t>IT: TF 4A 215/2009 del 6 agosto 2009</w:t>
      </w:r>
    </w:p>
    <w:p>
      <w:pPr>
        <w:pStyle w:val="Heading2"/>
      </w:pPr>
      <w:r>
        <w:t>Regeste</w:t>
      </w:r>
    </w:p>
    <w:p>
      <w:r>
        <w:t>remise à l'encaissement de créances par l'office des poursuites; substitution de parties | Droit des sociétés</w:t>
      </w:r>
    </w:p>
    <w:p>
      <w:pPr>
        <w:pStyle w:val="Heading2"/>
      </w:pPr>
      <w:r>
        <w:t>Erwägungen</w:t>
      </w:r>
    </w:p>
    <w:p>
      <w:r>
        <w:rPr>
          <w:b/>
        </w:rPr>
        <w:t>E. 1.1</w:t>
      </w:r>
    </w:p>
    <w:p>
      <w:r>
        <w:t>L'arrêt attaqué a confirmé le jugement rendu par le Tribunal de première instance le 4 septembre 2008. Cette décision avait déclaré irrecevable la demande de révision déposée par le recourant contre un jugement de la même autorité du 27 mars 2007, à teneur duquel il avait été admis qu'avec l'accord souscrit le 19 janvier 2006 par tous les plaideurs au procès introduit le 8 décembre 2003 par le demandeur X.________ contre B.________ et quatre consorts, la banque s'était substituée au demandeur dans cette procédure, ce qui avait eu pour effet de retirer son objet à la requête d'intervention de la banque formée le 7 octobre 2005. Il apparaît ainsi que l'arrêt déféré a mis un terme à l'incident de procédure, qui a abouti au remplacement du demandeur par la banque dans l'instance ouverte le 8 décembre 2003. Cet arrêt, qui a mis hors de cause le recourant sans pour autant clore la procédure, est une décision partielle au sens de l' art. 91 let. b LTF ( ATF 131 I 57 consid. 1.1), contre laquelle le recours en matière civile est recevable sans restriction, si les autres conditions de recevabilité sont remplies. Interjeté au surplus par un plaideur qui est désormais privé de la possibilité de participer au procès qu'il a ouvert et qui a ainsi la qualité pour recourir ( art. 76 al. 1 LTF ), dirigé contre un arrêt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134 III 102 consid. 1.1 et l'arrêt cité). Il s'en tient cependant d'ordinaire aux questions juridiques que la partie recourante soulève dans la motivation du recours ( art. 42 al. 2 LTF ; ATF 134 III 102 consid. 1.1 p. 105). Il n'examine la violation de droits constitutionnels que s'il est saisi d'un grief invoqué et motivé de façon détaillée ( art. 106 al. 2 LTF ; ATF 134 I 83 consid. 3.2 p. 88; 133 II 249 consid. 1.4.2 p. 254).</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1.4</w:t>
      </w:r>
    </w:p>
    <w:p>
      <w:r>
        <w:t>L'arrêt attaqué, comme on l'a vu, est fondé sur une double motivation, la première reposant sur l'accord des parties à la substitution du demandeur par la banque, la seconde sur la tardiveté de la demande de révision. Se conformant à l'exigence de recevabilité posée par la jurisprudence ( ATF 133 IV 119 consid. 6.3 p. 120 s.), le recourant a attaqué chacune de ces deux motivations alternatives.</w:t>
      </w:r>
    </w:p>
    <w:p>
      <w:r>
        <w:rPr>
          <w:b/>
        </w:rPr>
        <w:t>E. 2</w:t>
      </w:r>
    </w:p>
    <w:p>
      <w:r>
        <w:t>Se référant à l' art. 29 al. 1 Cst. , le recourant affirme qu'aucune norme de droit fédéral, et notamment pas l' art. 131 LP , n'imposait la substitution du demandeur - dont les créances ont été saisies - par le créancier saisissant dans la procédure que le poursuivi avait intentée auparavant contre des débiteurs tiers. Soutenant qu'une application correcte du droit fédéral aurait empêché son éviction du procès dont il était demandeur, le recourant fait valoir qu'il aurait pu de toute manière conclure au paiement en faveur de la créancière saisissante, d'autant que la valeur de la créance saisie serait largement supérieure à celle que détient la banque à son encontre. De l'avis du recourant, la cour cantonale aurait dû déterminer si la substitution litigieuse est intervenue ou non avec son consentement formel. Pour ne pas l'avoir fait, la Cour de justice aurait enfreint l' art. 8 CC et apprécié arbitrairement les preuves. Elle aurait également commis un déni de justice formel et appliqué arbitrairement l' art. 293 LPC /GE du fait de n'avoir pas établi d'office les faits pertinents permettant de déterminer si le demandeur avait acquiescé à sa substitution ou s'il s'en était uniquement rapporté à justice à ce propos.</w:t>
      </w:r>
    </w:p>
    <w:p>
      <w:r>
        <w:rPr>
          <w:b/>
        </w:rPr>
        <w:t>E. 3.1</w:t>
      </w:r>
    </w:p>
    <w:p>
      <w:r>
        <w:t>Il est question de substitution de parties lorsque, pendant le déroulement de l'instance, l'une des parties est remplacée par un tiers. Cette institution doit se distinguer en particulier de l'intervention, accessoire ou provoquée, (laquelle, selon les lois de procédure cantonales, a pour effet d'augmenter les parties au procès initial), de la consorité simple et de la simple rectification de la désignation d'une partie ( ATF 131 I 57 consid. 2.1; 118 Ia 129 consid. 2a). Si l'admissibilité de la substitution de parties relève en principe du droit cantonal de procédure, elle peut être imposée par le droit fédéral dans des situations particulières ( ATF 131 I 57 consid. 2.1, qui se réfère en particulier à FABIENNE HOHL, Procédure civile, Tome I, Introduction et théorie générale, Berne 2001, ch. 666 p. 130/131). La substitution des parties a ainsi lieu de plein droit notamment en cas de succession pour cause de mort ( art. 560 al. 1 CC ; les héritiers prennent la place du défunt au procès), de faillite ( art. 240 LP ; la masse en faillite ou le créancier cessionnaire de celle-ci remplace le failli au procès), de reprise des actifs et passifs d'une entreprise au sens de l' art. 181 CO ( ATF 106 II 346 consid. 1), de fusion ou de scission de sociétés (art. 22 et 52 de la Loi sur la fusion; LFus, RS 221.301; cf. arrêt 4C.385/2005 du 31 janvier 2006 consid. 1.2.1 et 1.2.2, in: Pra 2006 108 p. 751 et ZBGR 88/2007 p. 236) et d'acquisition au moyen d'enchères forcées d'une créance saisie litigieuse (HOHL, op. cit., ch. 666 in fine p. 131, laquelle renvoie à POUDRET ET AL., Procédure civile vaudoise, 3e éd, Lausanne 2002, n° 2 ad art. 64 CPC /VD, p. 121). Il ne saurait être contesté qu'aucun de ces cas de figure n'est réalisé en l'occurrence. C'est donc le lieu d'examiner si une autre disposition de droit fédéral impose dans la présente cause une substitution de partie.</w:t>
      </w:r>
    </w:p>
    <w:p>
      <w:r>
        <w:rPr>
          <w:b/>
        </w:rPr>
        <w:t>E. 3.2</w:t>
      </w:r>
    </w:p>
    <w:p>
      <w:r>
        <w:t>Il a été retenu en fait ( art. 105 al. 1 LTF ) que, le 7 avril 2005, l'Office des poursuites de Genève a remis à l'encaissement à l'intimée 1, en application de l' art. 131 al. 2 LP , les créances litigieuses que le recourant détient contre les intimés B.________, C.________ et la succession répudiée de F.________ représentée par l'Office des faillites de Genève (intimés 2, 3 et 6), lesquelles avaient fait l'objet d'une saisie complémentaire le 17 février 2004. Chacune de ces trois créances portait sur un montant de 96'277 fr.65. Leur addition, avec arrondissement au franc supérieur, donne un total de 288'833 fr., lequel correspond exactement à la totalité des prétentions que X.________ a élevées contre les intimés n°s 2 à 6 dans le procès qu'il leur a intenté le 8 décembre 2003. Il a également été constaté que le recourant n'a pas formé de plainte au sens de l' art. 17 LP contre cette mesure de l'Office des poursuites. La remise à l'encaissement de l' art. 131 al. 2 LP est un mode de réalisation extraordinaire des créances saisies non cotées à la bourse ou sur un marché. Elle n'implique aucune cession de créance, conventionnelle ( art. 164 CO ) ou même légale au sens de l' art. 166 CO (arrêt 4C.170/2002 du 12 novembre 2002 consid. 2.1, in: SJ 2003 I p. 333). Il s'agit d'une institution sui generis du droit des poursuites et de l'exécution forcée, qui correspond à un mandat d'encaissement délivré par l'office des poursuites permettant aux poursuivants, avec l'accord préalable de tous les créanciers qui participent à la saisie de la créance du poursuivi, de faire valoir en leur propre nom, à leur compte et à leurs risques et périls ladite créance. La somme que les poursuivants obtiennent sert à couvrir en premier lieu leurs créances en poursuite et leurs frais, alors que l'excédent éventuel doit être remis à l'office des poursuites (cf. MAGDALENA RUTZ, in Kommentar zum Bundesgesetz über Schuldbetreibung und Konkurs, 1998, n° 15 ad art. 131 LP ; KURT AMONN/FRIDOLIN WALTHER, Grundriss des Schuldbetreibungs- und Konkursrechts, 8e éd, Berne 2008, § 27 ch. 57 p. 261; CARL JEAGER ET AL., Bundesgesetz über Schuldbetreibung und Konkurs, 5e éd, Zurich 2006, n° 20 ad art. 131 LP ). La remise à l'encaissement d'une créance, échue ou non échue, est autorisée par l'office des poursuites singulièrement lorsque la créance détenue par le poursuivi est contestée ou fait l'objet d'un procès pendant ( ATF 109 III 102 consid. 5 in fine p. 106/107; SÉBASTIEN BETTSCHART, in Commentaire romand, Poursuite et faillite, Bâle 2005, n° 5 ad art. 131 LP ) ou encore lorsque la solvabilité du tiers débiteur est douteuse ou l'encaissement rendu plus difficile du fait que ce dernier est domicilié à l'étranger (AMONN/WALTHER, op. cit., § 27, ch. 63 p. 262). Selon la jurisprudence, le mandat de recouvrement accordé à un créancier ou à un groupe de créanciers en vertu de l' art. 131 al. 2 LP , avec l'accord de tous les créanciers saisissants, est une institution qui s'apparente dans ses effets à la cession des droits de la masse de l' art. 260 LP dans la procédure de faillite ( ATF 116 III 91 consid. 2b/bb p. 95; 93 III 45 consid. 1 p. 49). Cette analogie avec l' art. 260 LP soulignée par la jurisprudence a également été relevée par la doctrine moderne (AMMON/WALTHER, op. cit., § 27, ch. 58 ss p. 261/262; RUTZ, op. cit., n° 15 ad art. 131 LP ; BETTSCHART, op. cit., n° 19 ad art. 131 LP ). Or le créancier auquel la masse en faillite a cédé des droits litigieux ou douteux ( art. 260 al. 1 LP ) agit dans le procès en son propre nom, pour son propre compte et à ses risques et périls, mais ne devient pas, du fait de la cession, titulaire de la prétention cédée, seul lui étant cédé le droit de la masse de conduire le procès (Prozessführungsrecht; ATF 121 III 488 consid. 2b; 109 III 27 consid. 1a p. 29). On doit déduire de la parenté de l' art. 131 al. 2 LP avec l' art. 260 LP que les poursuivants autorisés à faire valoir en justice en leur propre nom la créance litigieuse du poursuivi possèdent eux aussi la faculté de conduire le procès comme partie à la place du titulaire de la créance saisie, à savoir le poursuivi. Autrement dit, les poursuivants ayant reçu de l'office des poursuites l'autorisation en cause ont acquis ce que la terminologie allemande qualifie de« Prozessstandschaft », ce qui implique ipso facto que le titulaire de la créance contestée n'a désormais plus le pouvoir d'en disposer dans le procès qu'il avait intenté contre les tiers débiteurs. Il suit de là qu'en remettant le 7 avril 2005 à l'encaissement à l'intimée 1 les créances du recourant contre les intimés 2, 3 et 6 conformément à l' art. 131 al. 2 LP - lesquelles représentent en valeur l'ensemble des prétentions que ce dernier fait valoir contre ses anciens associés -, la banque a acquis la faculté de conduire le procès introduit le 8 décembre 2003 par le demandeur contre les intimés 2 à 6. La substitution du demandeur par la banque dans ledit procès s'est en conséquence opérée de plein droit en vertu du droit fédéral, quoi qu'en dise le recourant.</w:t>
      </w:r>
    </w:p>
    <w:p>
      <w:r>
        <w:rPr>
          <w:b/>
        </w:rPr>
        <w:t>E. 3.3</w:t>
      </w:r>
    </w:p>
    <w:p>
      <w:r>
        <w:t>Dès l'instant où, dans le cas présent, la substitution de partie était imposée par le droit fédéral, indépendamment de l'accord du recourant, tous les griefs de ce dernier se rapportant au fait qu'il n'a pas acquiescé à cette substitution, critiques présentées sous la forme du déni de justice ( art. 29 al. 1 Cst. ), d'un refus de preuve ( art. 8 CC ), d'une appréciation arbitraire des preuves administrées ou d'une application indéfendable du droit de procédure genevois, perdent leur objet. De même, les moyens développés par le recourant contre la tardiveté de sa demande de révision, fondée en droit genevois sur le désaveu d'un acte procédural émanant d'un représentant sans pouvoirs, manquent leur cible. En effet l'issue de la querelle ne dépendait pas du comportement adopté par le conseil d'alors du demandeur lors de l'audience sur incident du 19 janvier 2006, de sorte qu'il n'y avait de toute façon pas matière à désavouer les actes de cet avocat par le moyen du motif de révision ancré à l' art. 156 LPC /GE.</w:t>
      </w:r>
    </w:p>
    <w:p>
      <w:r>
        <w:rPr>
          <w:b/>
        </w:rPr>
        <w:t>E. 4.1</w:t>
      </w:r>
    </w:p>
    <w:p>
      <w:r>
        <w:t>Le recourant se plaint enfin de la violation de son droit d'être entendu garanti par l' art. 29 al. 2 Cst. Il allègue que l'unique objet de l'audience du 19 janvier 2006 était de statuer sur la requête d'intervention de la banque. Il en déduit qu'il ne pouvait pas se figurer qu'il serait alors question de son éviction du procès ouvert le 8 décembre 2003. Du moment qu'une intervention n'entraîne pas la mise hors de cause d'une partie, il n'avait pas de raison, à l'en croire, de s'opposer à l'intervention de l'intimée 1 et était légitimé à s'en remettre à justice.</w:t>
      </w:r>
    </w:p>
    <w:p>
      <w:r>
        <w:rPr>
          <w:b/>
        </w:rPr>
        <w:t>E. 4.2</w:t>
      </w:r>
    </w:p>
    <w:p>
      <w:r>
        <w:t>Tel qu'il est garanti par la Constitution fédérale, le droit d'être entendu comprend notamment le droit pour le justiciable de prendre connaissance du dossier, de s'exprimer sur les éléments pertinents avant qu'une décision ne soit prise touchant sa situation juridique, de fournir des preuves quant aux faits de nature à influer sur le sort de la décision, d'obtenir qu'il soit donné suite à ses offres de preuves pertinentes, de participer à l'administration des preuves essentielles, d'en prendre connaissance et de se déterminer à leurs propos ( ATF 129 II 497 consid. 2.2 p. 504/505; 127 III 576 consid. 2c p. 578 s.)</w:t>
      </w:r>
    </w:p>
    <w:p>
      <w:r>
        <w:rPr>
          <w:b/>
        </w:rPr>
        <w:t>E. 4.3</w:t>
      </w:r>
    </w:p>
    <w:p>
      <w:r>
        <w:t>A supposer que le grief corresponde aux exigences de motivation de l' art. 106 al. 2 LTF , il est dénué de fondement. Le recourant semble faire grief à la Cour de justice de n'avoir pas pu s'exprimer sur sa mise hors de cause prononcée pendant l'audience du 19 janvier 2006. Il ressort des constatations de fait - dont le recourant n'a pas démontré l'arbitraire - que ce dernier avait été informé, avant la séance du 19 janvier 2006, que la banque souhaitait se substituer à lui et qu'un accord pouvait être trouvé lors de l'audience (cf. télécopie adressée par l'intimée 1 au conseil d'alors de X.________ le 18 janvier 2006). Le recourant savait ainsi, par l'avocat qui le représentait, que cette question serait discutée en séance. Dans ces conditions, on ne voit pas ce qui l'aurait empêché de s'exprimer en cette occasion sur l'attitude procédurale de la banque, voire de s'opposer à la substitution de parties et de solliciter de plaider sur l'incident. La circonstance que le recourant a choisi délibérément de s'en rapporter à justice et de ne pas s'exprimer davantage devant le Tribunal de première instance ne constitue pas une violation de son droit d'être entendu.</w:t>
      </w:r>
    </w:p>
    <w:p>
      <w:r>
        <w:rPr>
          <w:b/>
        </w:rPr>
        <w:t>E. 5</w:t>
      </w:r>
    </w:p>
    <w:p>
      <w:r>
        <w:t>Au vu de ce qui précède, le recours doit être rejeté. Les frais judiciaires seront mis à la charge du recourant ( art. 66 al. 1 LTF ). La Banque A.________ et G.________, chacun représenté par un avocat qui a déposé un mémoire de réponse, ont droit à une pleine indemnité à titre de dépens ( art. 68 al. 1 et 2 LTF ). La succession répudiée de F.________, dont le conseil s'est borné à conclure au rejet du recours sans autres développements, n'a droit au même titre qu'à une indemnité réduite au minimum de 600 fr. (cf. art. 4 et 8 al. 2 du Règlement sur les dépens alloués à la partie adverse et sur l'indemnité pour la représentation d'office dans les causes portées devant le Tribunal fédéral, du 31 mars 2006; RS 173.110.210.3). B.________, C.________ et dame D.________, qui s'en sont rapportés à justice, et dame E.________, qui n'a pas déposé de déterminations,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