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4A_214/2025 vom 15. September 2025</w:t>
      </w:r>
    </w:p>
    <w:p>
      <w:r>
        <w:t>Bundesgericht, 2025-09-15, FR</w:t>
      </w:r>
    </w:p>
    <w:p>
      <w:r>
        <w:rPr>
          <w:b/>
        </w:rPr>
        <w:t xml:space="preserve">Quelle: </w:t>
      </w:r>
      <w:r>
        <w:t>https://mcp.opencaselaw.ch/entscheid/bger_4A_214_2025</w:t>
      </w:r>
    </w:p>
    <w:p>
      <w:r>
        <w:t>FR: TF 4A_214/2025 du 15 septembre 2025</w:t>
      </w:r>
    </w:p>
    <w:p>
      <w:r>
        <w:t>IT: TF 4A_214/2025 del 15 settembre 2025</w:t>
      </w:r>
    </w:p>
    <w:p>
      <w:pPr>
        <w:pStyle w:val="Heading2"/>
      </w:pPr>
      <w:r>
        <w:t>Erwägungen</w:t>
      </w:r>
    </w:p>
    <w:p>
      <w:r>
        <w:rPr>
          <w:b/>
        </w:rPr>
        <w:t>E. 1</w:t>
      </w:r>
    </w:p>
    <w:p>
      <w:r>
        <w:t>Interjeté dans le délai fixé par la loi ( art. 100 al. 1 et art. 46 al. 1 let. a LTF ) par la poursuivante, qui a succombé dans ses conclusions ( art. 76 al. 1 LTF ), et dirigé contre une décision finale ( art. 90 LTF ; ATF 134 III 115 consid. 1.1) rendue sur recours par le tribunal supérieur du canton du Valais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La recourante reproche à la cour cantonale d'avoir méconnu les principes régissant la mainlevée provisoire de l'opposition et d'avoir ainsi violé l' art. 82 LP et l'interdiction de l'arbitraire.</w:t>
      </w:r>
    </w:p>
    <w:p>
      <w:r>
        <w:rPr>
          <w:b/>
        </w:rPr>
        <w:t>E. 3.1</w:t>
      </w:r>
    </w:p>
    <w:p>
      <w:r>
        <w:t>Constitue une reconnaissance de dette au sens de l' art. 82 al. 1 LP , en particulier, l'acte sous seing privé, signé par le poursuivi - ou son représentant ( ATF 148 III 145 consid. 4.1.1; 132 III 140 consid. 4.1.1; arrêt 4A_443/2024 du 25 février 2025 consid. 5.2.1) -, d'où ressort sa volonté de payer au poursuivant, sans réserve ni condition, une somme d'argent déterminée, ou aisément déterminable, et exigible ( ATF 148 III 145 consid. 4.1.1; 145 III 20 consid. 4.1.1; 139 III 297 consid. 2.3.1 et les arrêts cités; arrêts 4A_443/2024 précité consid. 5.2.1; 5A_534/2023 du 13 décembre 2023 consid. 5.2.2); elle peut résulter du rapprochement de plusieurs pièces, dans la mesure où les éléments nécessaires en résultent ( ATF 139 III 297 consid. 2.3.1; 136 III 627 consid. 2 et l'arrêt cité; arrêt 5A_534/2023 précité consid. 5.2.2). Il incombe au poursuivant d'établir que la créance était exigible au moment de l'introduction de la poursuite ( ATF 148 III 145 consid. 4.1.1; arrêt 4A_626/2023 du 9 février 2024 consid. 5.1 et les arrêts cités).</w:t>
      </w:r>
    </w:p>
    <w:p>
      <w:r>
        <w:t>Le juge de la mainlevée provisoire ne peut procéder qu'à l'interprétation objective du titre fondée sur le principe de la confiance (arrêts 5A_534/2023 précité consid. 5.2.2; 5A_595/2021 du 14 janvier 2022 consid. 6.2.1; 5A_1015/2020 du 30 août 2021 consid. 3.2.3 et les références citées). Il ne peut prendre en compte que les éléments intrinsèques au titre, à l'exclusion des éléments extrinsèques qui échappent à son pouvoir d'examen ( ATF 145 III 20 consid. 4.3.3; arrêts 4A_443/2024 précité consid. 5.2.1; 5A_534/2023 précité consid. 5.2.2; 5A_595/2021 précité consid. 6.2.1; 5A_1015/2020 précité consid. 3.2.3). Si le sens ou l'interprétation du titre de mainlevée invoqué est source de doutes ou si la reconnaissance de dette ne ressort que d'actes concluants, la mainlevée provisoire doit être refusée (arrêts 4A_443/2024 précité consid. 5.2.1; 5A_989/2021 du 3 août 2022 consid. 4.2.1). La volonté de payer du poursuivi doit ressortir clairement des pièces produites, à défaut de quoi elle ne peut être déterminée que par le juge du fond (arrêts 5A_534/2023 précité consid. 5.2.2; 5A_595/2021 précité consid. 6.2.1; 5A_1015/2020 précité consid. 3.2.3 et les arrêts cités).</w:t>
      </w:r>
    </w:p>
    <w:p>
      <w:r>
        <w:rPr>
          <w:b/>
        </w:rPr>
        <w:t>E. 3.2</w:t>
      </w:r>
    </w:p>
    <w:p>
      <w:r>
        <w:t>La première juge a considéré que la poursuivante n'était pas au bénéfice d'une reconnaissance de dette au sens de l' art. 82 LP , dès lors que l'avenant no 2 au contrat ne permettait pas de déterminer la date de l'exigibilité de la créance, respectivement des différentes tranches dont le montant n'était pas fixé, et qu'il ne spécifiait pas le nombre de tranches.</w:t>
      </w:r>
    </w:p>
    <w:p>
      <w:r>
        <w:rPr>
          <w:b/>
        </w:rPr>
        <w:t>E. 3.3</w:t>
      </w:r>
    </w:p>
    <w:p>
      <w:r>
        <w:t>La cour cantonale a, en substance, retenu que la décision de première instance ne violait pas le droit, dès lors que les tranches et leur montant étaient laissés à la libre disposition du poursuivi, de sorte qu'il n'était pas possible de déterminer l'échéance de la dernière des tranches sur la base de l'avenant no 2 et, donc, la date d'exigibilité de la créance de 1'000'000 fr.</w:t>
      </w:r>
    </w:p>
    <w:p>
      <w:r>
        <w:t>Elle a en outre retenu que la condition de l'identité entre la créance et le titre n'était pas remplie, dès lors que le commandement de payer indique, comme titre de la créance ou cause de l'obligation, une "[r]econnaissance de dette" et qu'on ne saurait comprendre, sans autre précision, qu'il s'agit de l'avenant no 2 au contrat.</w:t>
      </w:r>
    </w:p>
    <w:p>
      <w:r>
        <w:rPr>
          <w:b/>
        </w:rPr>
        <w:t>E. 3.4</w:t>
      </w:r>
    </w:p>
    <w:p>
      <w:r>
        <w:t>La recourante invoque que le contrat et les deux avenants constituent une reconnaissance de dette au sens de l' art. 82 LP et qu'il résulte de l'avenant no 2 que le poursuivi aurait reconnu sa volonté de lui payer, sans réserves ni conditions, 1'000'000 fr.</w:t>
      </w:r>
    </w:p>
    <w:p>
      <w:r>
        <w:t>Se fondant sur l'arrêt 5A_896/2017 du 7 février 2018 consid. 4.3, elle soutient que l'engagement de payer une somme d'argent déterminée serait inconditionnelle, même si elle comporte la proposition d'un plan d'amortissement. Elle allègue que le poursuivi aurait reconnu être débiteur de 1'000'000 fr. envers elle et qu'elle lui aurait proposé un plan de paiement de ce montant en plusieurs tranches, de sorte que l'entièreté de la créance de 1'000'000 fr. serait due à partir du 1er novembre 2017, comme indiqué dans l'avenant no 2, et qu'à titre de plan de paiement, il pouvait payer ce montant en plusieurs tranches, chaque trois mois.</w:t>
      </w:r>
    </w:p>
    <w:p>
      <w:r>
        <w:rPr>
          <w:b/>
        </w:rPr>
        <w:t>E. 3.5</w:t>
      </w:r>
    </w:p>
    <w:p>
      <w:r>
        <w:t>La recourante se contente en partie de substituer son appréciation des preuves à celle retenue par la cour cantonale. Appellatoire, cette démarche est irrecevable.</w:t>
      </w:r>
    </w:p>
    <w:p>
      <w:r>
        <w:t>Pour le reste, l'argumentation de la recourante ne saurait être suivie. En effet, dans l'arrêt sur lequel elle se fonde, la poursuivie avait reconnu, sans condition, devoir à la poursuivante une somme et lui avait proposé un plan d'amortissement consistant à lui verser 100 fr. par mois dès le mois de mai 2016 (arrêt 5A_896/2017 précité consid. 4.2). Tel n'est toutefois pas le cas en l'espèce, dès lors que les parties sont convenues que le montant de 1'000'000 fr. était "payable par tranche, chaque trois mois, la première fois le 01.11.2017". À rigueur de texte, l'intimé est ainsi libre de verser trimestriellement un montant minime à la recourante.</w:t>
      </w:r>
    </w:p>
    <w:p>
      <w:r>
        <w:t>La cour cantonale n'a donc pas violé l' art. 82 LP ou l' art. 9 Cst. en retenant que la date d'exigibilité de l'entièreté de la prétention déduite en poursuite, soit 1'000'000 fr., ne pouvait être déduite des titres produits par la poursuivante, à laquelle il incombait d'établir que la créance était exigible au moment de l'introduction de la poursuite.</w:t>
      </w:r>
    </w:p>
    <w:p>
      <w:r>
        <w:t>Dès lors que l'une des conditions cumulatives de l' art. 82 al. 1 LP fait ainsi défaut et que la mainlevée de l'opposition litigieuse ne peut donc pas être prononcée, point n'est besoin d'examiner si, comme le soutient la recourante, la cour cantonale a violé l' art. 82 LP et l' art. 9 Cst. en retenant que la condition de l'identité entre la créance et le titre n'était en l'espèce pas remplie.</w:t>
      </w:r>
    </w:p>
    <w:p>
      <w:r>
        <w:rPr>
          <w:b/>
        </w:rPr>
        <w:t>E. 4</w:t>
      </w:r>
    </w:p>
    <w:p>
      <w:r>
        <w:t>Au vu de ce qui précède, le recours sera rejeté, dans la mesure de sa recevabilité.</w:t>
      </w:r>
    </w:p>
    <w:p>
      <w:r>
        <w:t>Les frais judiciaires seront mis à la charge de la recourante, qui succombe ( art. 66 al. 1 LTF ). Dès lors que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