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214/2020 vom 5. Juni 2020</w:t>
      </w:r>
    </w:p>
    <w:p>
      <w:r>
        <w:t>Bundesgericht, 2020-06-05, DE</w:t>
      </w:r>
    </w:p>
    <w:p>
      <w:r>
        <w:rPr>
          <w:b/>
        </w:rPr>
        <w:t xml:space="preserve">Quelle: </w:t>
      </w:r>
      <w:r>
        <w:t>https://mcp.opencaselaw.ch/entscheid/bger_4A_214_2020</w:t>
      </w:r>
    </w:p>
    <w:p>
      <w:r>
        <w:t>FR: TF 4A 214/2020 du 5 juin 2020</w:t>
      </w:r>
    </w:p>
    <w:p>
      <w:r>
        <w:t>IT: TF 4A 214/2020 del 5 giugno 2020</w:t>
      </w:r>
    </w:p>
    <w:p>
      <w:pPr>
        <w:pStyle w:val="Heading2"/>
      </w:pPr>
      <w:r>
        <w:t>Regeste</w:t>
      </w:r>
    </w:p>
    <w:p>
      <w:r>
        <w:t>vorsorgliche Massnahmen | Immaterialgüter-, Wettbewerbs- und Kartellrecht</w:t>
      </w:r>
    </w:p>
    <w:p>
      <w:pPr>
        <w:pStyle w:val="Heading2"/>
      </w:pPr>
      <w:r>
        <w:t>Erwägungen</w:t>
      </w:r>
    </w:p>
    <w:p>
      <w:r>
        <w:rPr>
          <w:b/>
        </w:rPr>
        <w:t>E. 1</w:t>
      </w:r>
    </w:p>
    <w:p>
      <w:r>
        <w:t>A.________ Ltd., U.________, (Klägerin, Beschwerdeführerin) reichte dem Handelsgericht des Kantons Zürich mit Eingabe vom 6. Februar 2020 ein Massnahmegesuch gegen die B.________ Logistics AG, V.________, (Beklagte, Beschwerdegegnerin) ein mit den folgenden Anträgen: "1. Der Beklagten sei unter Androhung einer Ordnungsbusse von CHF 1'000.00 pro Tag nach Art. 343 Abs. 1 lit. c ZPO , mindestens aber CHF 5'000.00 gemäss Art. 343 Abs. 1 lit. b ZPO , sowie der Bestrafung ihrer verantwortlichen Organe nach Art. 292 StGB mit Busse im Widerhandlungsfall vorsorglich zu verbieten, in der Schweiz die Firma 'B.________ Logistics AG' nach Ablauf einer Frist von 60 Tagen nach Rechtskraft des zu erlassenden Entscheides zu führen.</w:t>
      </w:r>
    </w:p>
    <w:p>
      <w:r>
        <w:rPr>
          <w:b/>
        </w:rPr>
        <w:t>E. 2</w:t>
      </w:r>
    </w:p>
    <w:p>
      <w:r>
        <w:t>Der Beklagten sei unter Androhung einer Ordnungsbusse von CHF 1'000.00 pro Tag nach Art. 343 Abs. 1 lit. c ZPO , mindestens aber CHF 5'000.00 gemäss Art. 343 Abs. 1 lit. b ZPO , sowie der Bestrafung ihrer verantwortlichen Organe nach Art. 292 StGB mit Busse im Widerhandlungsfall, vorsorglich zu verbieten, in der Schweiz die Bezeichnungen 'B.________' oder 'B.________ Logistics' als Firma, zur Bezeichnung ihrer Dienstleistungen, in der Werbung, in Drucksachen, im Internet, als Bestandteil eines Domainnamens oder sonst wie im Geschäftsverkehr im Zusammenhang mit der Erbringung von Event- oder Promotionslogistikdienstleistungen (Dienstleistungen im Bereiche der Logistik, der Organisation von Veranstaltungen sowie der Vermittlung von Sponsoren) nach Ablauf einer Frist von 60 Tagen nach Rechtskraft des zu erlassenden Entscheides zu gebrauchen oder bei einer dieser Handlungen mitzuwirken, diese zu begünstigen oder Dritte dazu anzustiften.</w:t>
      </w:r>
    </w:p>
    <w:p>
      <w:r>
        <w:rPr>
          <w:b/>
        </w:rPr>
        <w:t>E. 2.1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S. 79; je mit Verweisen). Die Beschwerdeführerin geht zutreffend davon aus, dass die beantragten Massnahmen nur für die Dauer eines Hauptverfahrens Bestand haben könnten und dass es sich daher beim angefochtenen Entscheid um einen Zwischenentscheid handelt.</w:t>
      </w:r>
    </w:p>
    <w:p>
      <w:r>
        <w:rPr>
          <w:b/>
        </w:rPr>
        <w:t>E. 2.2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S. 479; 143 III 416 E. 1.3; 141 III 80 E. 1.2; je mit Hinweisen). Rein tatsächliche Nachteile wie die Verlängerung oder Verteuerung des Verfahrens reichen nicht aus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 Ausnahme ist restriktiv zu handhaben ( BGE 144 III 475 E. 2.1 S. 479; 138 III 94 E. 2.2 S. 95).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in der Beschwerdebegründung aufgezeigt wird, inwiefern im konkreten Fall ein nicht wieder gutzumachender Nachteil rechtlicher Natur drohe ( BGE 144 III 475 E. 1.2 S. 479 f.; 137 III 324 E. 1.1 S. 328 f.).</w:t>
      </w:r>
    </w:p>
    <w:p>
      <w:r>
        <w:rPr>
          <w:b/>
        </w:rPr>
        <w:t>E. 2.3</w:t>
      </w:r>
    </w:p>
    <w:p>
      <w:r>
        <w:t>Die Beschwerdeführerin bringt zu den Eintretensvoraussetzungen lediglich vor, der Nachteil rechtlicher Natur bestehe in den willkürlich und gehörsverletzend nicht gewährten Verbotsansprüchen zugunsten der Beschwerdeführerin und behauptet, sie leide entgegen dem angefochtenen Entscheid "nicht 'pauschal' unter Marktverwirrungen oder Fehlirritationen zufolge der Verwechslung der Firmen 'A.________ Ltd.' und 'B.________ Logistics AG'". Vielmehr seien die "Irritationen [...] konkret und glaubhaft dokumentiert durch ein Dutzend Urkunden von tatsächlichen Verwechslungssituationen", denen bestehende und potenzielle Kunden innert weniger Monate unterlegen seien. Damit zeigt die Beschwerdeführerin nicht hinreichend konkret auf, inwiefern ihr ein Nachteil drohen soll, der auch durch einen für sie günstigen Entscheid in der Zukunft nicht mehr behoben werden könnte. Dass die Voraussetzungen für eine ausnahmsweise Anfechtbarkeit eines Zwischenentscheids erfüllt wären, springt auch nicht offensichtlich in die Augen. Auf die Beschwerde ist daher im vereinfachten Verfahren nach Art. 108 Abs. 1 lit. a BGG nicht einzutreten.</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