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214/2014 vom 5. Dezember 2014</w:t>
      </w:r>
    </w:p>
    <w:p>
      <w:r>
        <w:t>Bundesgericht, 2014-12-05, FR</w:t>
      </w:r>
    </w:p>
    <w:p>
      <w:r>
        <w:rPr>
          <w:b/>
        </w:rPr>
        <w:t xml:space="preserve">Quelle: </w:t>
      </w:r>
      <w:r>
        <w:t>https://mcp.opencaselaw.ch/entscheid/bger_4A_214_2014</w:t>
      </w:r>
    </w:p>
    <w:p>
      <w:r>
        <w:t>FR: TF 4A 214/2014 du 5 décembre 2014</w:t>
      </w:r>
    </w:p>
    <w:p>
      <w:r>
        <w:t>IT: TF 4A 214/2014 del 5 dicembre 2014</w:t>
      </w:r>
    </w:p>
    <w:p>
      <w:pPr>
        <w:pStyle w:val="Heading2"/>
      </w:pPr>
      <w:r>
        <w:t>Regeste</w:t>
      </w:r>
    </w:p>
    <w:p>
      <w:r>
        <w:t>action en libération de dette, contrat de courtage de négociation dans le domaine immobilier, double courtage | Droit des contrats</w:t>
      </w:r>
    </w:p>
    <w:p>
      <w:pPr>
        <w:pStyle w:val="Heading2"/>
      </w:pPr>
      <w:r>
        <w:t>Erwägungen</w:t>
      </w:r>
    </w:p>
    <w:p>
      <w:r>
        <w:rPr>
          <w:b/>
        </w:rPr>
        <w:t>E. 1.1.1</w:t>
      </w:r>
    </w:p>
    <w:p>
      <w:r>
        <w:t>Devant l'autorité précédente, le litige portait sur une demande tendant à la constatation de l'inexistence de la créance en paiement de la rémunération du courtier, se montant à 20'000 fr. (cf. art. 51 al. 1 let. a et al. 3 LTF ). La valeur litigieuse minimale de 30'000 fr. requise par l' art. 74 al. 1 let. b LTF pour que puisse être intenté un recours en matière civile n'est pas atteinte. Le recourant soutient toutefois que ledit recours est recevable sans égard à la valeur litigieuse, car la contestation soulève une question juridique de principe ( art. 74 al. 2 let. a LTF ). La partie recourante qui soutient que ce cas de figure est réalisé doit exposer en quoi l'affaire remplit la condition exigée ( art. 42 al. 2 LTF ; ATF 137 III 580 consid. 1.1 p. 582). Le recourant expose à cet égard que le litige a trait à l'interprétation de l' art. 415 CO . L'intervention du Tribunal fédéral serait nécessaire pour lever les incertitudes liées à l'admissibilité, sans réserve ou avec restrictions, du double contrat de courtage en matière immobilière. Il est d'avis que " la loi semble claire, mais ne l'est pas ", que la doctrine est divisée et que la jurisprudence cantonale n'est pas unanime. Il sied de se montrer restrictif pour admettre une dérogation à l'exigence de la valeur litigieuse en application de l' art. 74 al. 2 let. a LTF ( ATF 135 III 1 consid. 1.3 p. 4; 134 III 267 consid. 1.2 p. 269). Selon la jurisprudence, la contestation soulève une question juridique de principe lorsqu'il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139 III 182 consid. 1.2 p. 185, 209 consid. 1.2 p. 210; 138 I 232 consid. 2.3 p. 236).</w:t>
      </w:r>
    </w:p>
    <w:p>
      <w:r>
        <w:rPr>
          <w:b/>
        </w:rPr>
        <w:t>E. 1.1.2</w:t>
      </w:r>
    </w:p>
    <w:p>
      <w:r>
        <w:t>Il résulte des faits déterminants ( art. 105 al. 1 LTF ) que le recourant et C.________ ont conclu le 8 mars 2010 par écrit un contrat de courtage tel que l'entend l' art. 412 al. 1 CO . A teneur de cet accord, le recourant, en qualité de courtier, devait notamment mener les tractations de vente de la villa de la prénommée. Il est ainsi indubitable que ce contrat doit être qualifié de courtage de négociation (art. 413 al. 1 in fine CO). Il a également été constaté que l'intimé a pris contact en automne 2010 avec le recourant à la suite de l'annonce publiée par ce dernier sur internet en relation avec la vente de la villa en question. L'intimé a chargé le recourant, par accord du 21 octobre 2010, de conduire la négociation avec C.________. L'intimé n'a pas été en relation directe avec cette dernière avant la passation du contrat de vente immobilière. L'accord conclu entre l'intimé et le recourant constitue sans conteste au point de vue juridique un second contrat de courtage de négociation. L'autorité cantonale a écrit, au considérant 2.2. ch. 52 de la décision déférée, que ces qualifications juridiques ne sont pas remises en cause par les parties.</w:t>
      </w:r>
    </w:p>
    <w:p>
      <w:r>
        <w:rPr>
          <w:b/>
        </w:rPr>
        <w:t>E. 1.1.3</w:t>
      </w:r>
    </w:p>
    <w:p>
      <w:r>
        <w:t>Dans l' ATF 111 II 366 consid. 1a p. 368, le Tribunal fédéral a rappelé, en se référant à la jurisprudence ( ATF 110 II 276 et 35 II 63), que l' art. 415 CO interdit au courtier de se faire promettre une rémunération à la fois par deux mandants si cela est contraire au contrat de courtage ou aux règles de la bonne foi. Le texte de cette norme légale n'exclut pas tout double courtage, mais l'admet au contraire dans certaines limites. La juridiction fédérale a ainsi précisé, au consid. 1b de cet arrêt, p. 368, que dans l'hypothèse où il n'incombe pas au courtier d'obtenir les conditions les plus favorables possibles pour les intérêts opposés de l'acheteur et du vendeur, le double courtage, faute de collision d'intérêts, est compatible avec les règles de la bonne foi. La question de savoir s'il fallait s'en tenir à tous égards à cette jurisprudence ou s'il fallait limiter l'admissibilité du double courtage au seul courtage d'indication a été laissée indécise (consid. 1b p. 368/369). Selon l' ATF 124 III 481 consid. 3a p. 483, qui se rapporte à l' ATF 111 II 366 susmentionné, le double courtage est en règle générale admissible, pour autant qu'il ne soit pas exclu par le contrat de courtage et ne conduise pas à une collision des intérêts (Interessenkollision) en présence. Cet arrêt a été rendu en rapport avec la conclusion d'un contrat de courtage d'assurances, où le courtier, mandataire du preneur d'assurance, était payé par les compagnies d'assurance avec lesquelles son mandant concluait des contrats d'assurance. Dans l'arrêt non publié 4C.375/2005 du 22 décembre 2006 consid. 4.3, le Tribunal fédéral, citant l' ATF 111 II 366 consid. 1b, a admis que l'activité simultanée du courtier pour deux personnes conduit à une collision d'intérêts lorsque le courtier doit obtenir pour l'acheteur et le vendeur de biens immobiliers, dont les intérêts s'opposent, les conditions contractuelles les plus avantageuses qu'il soit possible. Ce précédent a été confirmé dans les mêmes termes dans l'arrêt non publié 4A_508/2007 du 25 mars 2008, consid. 3. Cette jurisprudence a été critiquée en doctrine. Pour THÉVENOZ/PEYROT ( Le contrat de courtage immobilier, in Servitudes, droit de voisinage, responsabilités du propriétaire immobilier, 2007, p. 129) et HEINRICH HONSELL (Schweizerisches Obligationenrecht, Besonderer Teil, 9 e éd. 2010, p. 357), le double courtage de négociation n'est pas admissible; il crée un conflit d'intérêts insoluble, puisqu'une même personne ne peut négocier en même temps dans l'intérêt du vendeur, qui recherche un prix élevé, et dans celui de l'acheteur, qui désire un prix bas. La question de l'admission du double courtage de négociation dans le domaine immobilier ne trouve pas de solution évidente au regard du libellé de l' art. 415 CO . Après avoir laissé la question ouverte, la jurisprudence publiée du Tribunal fédéral a restreint l'admissibilité du double courtage de négociation à l'absence de tout conflit des intérêts en présence. Les circonstances à la base de ce précédent ne concernaient cependant pas le courtage immobilier. Il y a ainsi une incertitude jurisprudentielle en matière de double courtage d'immeubles lorsque le courtier est chargé de négocier les affaires pour le compte de l'acheteur et du vendeur. Les circonstances du cas sont susceptibles de se reproduire à tout moment, à considérer en particulier la dynamique du marché immobilier en Suisse. Il sied en conséquence de recevoir le recours en matière civile sur la base de l' art. 74 al. 2 let. a LTF , ce qui entraîne ipso facto l'irrecevabilité du recours constitutionnel subsidiaire ( art. 113 LTF ).</w:t>
      </w:r>
    </w:p>
    <w:p>
      <w:r>
        <w:rPr>
          <w:b/>
        </w:rPr>
        <w:t>E. 1.2</w:t>
      </w:r>
    </w:p>
    <w:p>
      <w:r>
        <w:t>Le défendeur, qui a succombé dans ses conclusions tendant au rejet de l'action de libération de dette ouverte par le demandeur, a qualité pour recourir ( art. 76 al. 1 LTF ). Dirigé pour le reste contre un jugement final ( art. 90 LTF ) rendu en matière civile ( art. 72 al. 1 LTF ) par un tribunal supérieur statuant sur recours ( art. 75 LTF ), le recours est en principe recevable, puisqu'il a été déposé dans le délai ( art. 100 al. 1 LTF ) et la forme ( art. 42 LTF ) prévus par la loi.</w:t>
      </w:r>
    </w:p>
    <w:p>
      <w:r>
        <w:rPr>
          <w:b/>
        </w:rPr>
        <w:t>E. 1.3</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w:t>
      </w:r>
    </w:p>
    <w:p>
      <w:r>
        <w:rPr>
          <w:b/>
        </w:rPr>
        <w:t>E. 1.4</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n'est autorisée à attaquer des constatations de fait ainsi irrégulières que si la correction du vice est susceptible d'influer sur le sort de la cause ( art. 97 al. 1 LTF ).</w:t>
      </w:r>
    </w:p>
    <w:p>
      <w:r>
        <w:rPr>
          <w:b/>
        </w:rPr>
        <w:t>E. 2.1</w:t>
      </w:r>
    </w:p>
    <w:p>
      <w:r>
        <w:t>Dans la décision critiquée, la cour cantonale a liminairement retenu que, sous réserve d'une éventuelle déchéance au sens de l' art. 415 CO , le défendeur a droit au salaire arrêté avec le demandeur, selon le contrat du 21 octobre 2010, à concurrence de 25'000 fr., augmenté d'une prime de succès de 5'000 fr. Se ralliant à l'opinion de Thévenoz/Peyrot (op. cit., ibidem) et de Honsell (op. cit., ibid.), l'autorité cantonale s'est prononcée en faveur d'une interprétation stricte de l' art. 415 CO , selon laquelle est interdit par principe le double contrat de courtage de négociation, au motif que " nul ne peut servir deux maîtres ". La seule réserve qui doit être opérée à l'interdiction générale de ce double courtage concerne le cas où le courtier convient avec l'acheteur que ce dernier prenne à sa charge tout ou partie de la commission fixée avec le vendeur, en sorte que le montant global de la commission reste identique. Or, dans la présente espèce, le défendeur, selon les contrats de courtage, a droit à une double commission, sans que le montant de la commission due par C.________ ne soit réduite en fonction de celle que le demandeur s'est engagé à payer au courtier. Pour la cour cantonale, un conflit d'intérêts insoluble existe dans la relation tripartite qui liait C.________ et les plaideurs. Elle en a inféré que le défendeur devait être déchu de son droit au salaire conformément à l' art. 415 CO . A supposer même qu'il faille privilégier une interprétation moins restrictive de l' art. 415 CO et reconnaître de cas en cas la validité du double contrat de courtage de négociation dans le domaine immobilier, les magistrats bernois ont affirmé, dans une argumentation superfétatoire, que le courtier a violé son obligation d'information et de transparence; ce dernier n'a pas averti le demandeur que la commission dont il s'était fait promettre le paiement par celui-ci n'irait pas diminuer la commission due par la venderesse; il est donc exclu d'admettre que les mandants ont toléré ou accepté la double activité du courtier en pleine connaissance de cause.</w:t>
      </w:r>
    </w:p>
    <w:p>
      <w:r>
        <w:rPr>
          <w:b/>
        </w:rPr>
        <w:t>E. 2.2</w:t>
      </w:r>
    </w:p>
    <w:p>
      <w:r>
        <w:t>Le recourant invoque une violation de l' art. 415 CO . Il serait contraire au droit fédéral d'exclure dans l'absolu, comme l'a fait la cour cantonale, toute conclusion d'un double contrat de courtage de négociation en prévoyant une seule exception. Il soutient que l'admission limitée de ce double courtage doit englober tous les cas dans lesquels le courtier ne trahit pas les intérêts de ses mandants. Il prétend ainsi qu'il n'était pas à même de porter préjudice à la venderesse. L'intérêt de cette dernière était en effet de vendre la maison au prix de 1'800'000 fr., du moment qu'elle avait accepté d'attribuer au courtier, à titre de commission de courtage, toute différence intervenant avec ce prix. Les intérêts de l'intimé n'ont pas davantage été trahis, étant donné que ce dernier ne pouvait espérer un meilleur prix d'achat que celui qui a été finalement convenu. Il relève que personne n'a remis en cause la validité de l'avenant au contrat de courtage signé par C.________. A propos de la motivation subsidiaire de la cour cantonale, le recourant allègue que le fait qu'il n'ait pas révélé à l'intimé que la commission payée par ce dernier ne serait pas imputée sur le montant du salaire de courtier qu'il devait toucher de C.________ n'a aucune pertinence dans l'application de l' art. 415 CO . Déchoir le courtier de son droit à la rémunération pour n'avoir pas donné de telles informations consacrerait une entorse au droit fédéral. Le recourant affirme qu'il a rempli intégralement ses devoirs de courtier, que les intérêts des deux parties mandantes ont été conciliés et que son activité au service de l'intimé doit être rémunérée selon ce que le contrat du 21 octobre 2010 prévoit.</w:t>
      </w:r>
    </w:p>
    <w:p>
      <w:r>
        <w:rPr>
          <w:b/>
        </w:rPr>
        <w:t>E. 3</w:t>
      </w:r>
    </w:p>
    <w:p>
      <w:r>
        <w:t>Il faut observer ici que la décision attaquée est fondée sur une double motivation. Se conformant à l'exigence de recevabilité posée par la jurisprudence ( ATF 138 III 728 consid. 3.4 p. 735; 133 IV 119 consid. 6.3 p. 120 s.), le recourant a attaqué chacune de ces deux motivations alternatives.</w:t>
      </w:r>
    </w:p>
    <w:p>
      <w:r>
        <w:rPr>
          <w:b/>
        </w:rPr>
        <w:t>E. 4.1</w:t>
      </w:r>
    </w:p>
    <w:p>
      <w:r>
        <w:t>A teneur de l' art. 415 CO , le courtier perd son droit au salaire et au remboursement de ses dépenses, s'il agit dans l'intérêt du tiers contractant au mépris de ses obligations, ou s'il se fait promettre par lui une rémunération dans des circonstances où les règles de la bonne foi s'y opposaient. L' art. 415 CO vise deux hypothèses: la première est celle où le courtier enfreint ses obligations de fidélité (cf. art. 412 al. 2 CO qui renvoie à l' art. 398 al. 2 CO ) en agissant dans l'intérêt du tiers contractant - c'est-à-dire du cocontractant potentiel de son mandant - au mépris des obligations qu'il assume envers ce dernier; la seconde est celle où le courtier se fait promettre par le tiers cocontractant une rémunération dans une situation qui heurte les règles de la bonne foi (cf. Caterina Ammann, in Basler Kommentar, Obligationenrecht, vol. I, 5e éd. 2011, n°s 2-4 ad art. 415 CO ; François Rayroux, in Commentaire romand, Code des obligations, vol. I, 2e éd. 2012, n° 2 ad art. 415 CO ).</w:t>
      </w:r>
    </w:p>
    <w:p>
      <w:r>
        <w:rPr>
          <w:b/>
        </w:rPr>
        <w:t>E. 4.2</w:t>
      </w:r>
    </w:p>
    <w:p>
      <w:r>
        <w:t>Il résulte de la décision attaquée que C.________ et le recourant étaient liés depuis le 8 mars 2010 par un contrat de courtage de négociation portant sur la vente de la villa de la première au prix minimum de 2'200'000 fr. En automne 2010, l'intimé a téléphoné au recourant pour formuler une offre d'achat de la villa pour le prix de 1'800'000 fr. Après discussion avec le recourant, qui lui avait demandé si le prix d'achat pouvait être augmenté, l'intimé s'est déclaré prêt à verser 1'825'000 fr. pour acquérir l'immeuble. Le recourant a informé C.________ de l'offre d'achat de l'intimé au montant de 1'800'000 fr., mais il ne lui a pas précisé que l'intimé acceptait, le cas échéant, d'augmenter le prix à 1'825'000 fr. Après ses vacances d'octobre 2010, C.________ a accepté, en signant un avenant au contrat de courtage, rédigé par le recourant, de baisser le prix de vente net au montant de 1'755'000 fr.; avec la commission de courtage envisagée, qui était de 45'000 fr., le prix de vente devait se monter à 1'800'000 fr. Le 21 octobre 2010, un tiers a proposé au recourant d'acheter ladite villa au prix de 1'900'000 fr. Ce dernier n'a pas communiqué cette offre à la propriétaire de l'immeuble. Il a en revanche averti immédiatement l'intimé que d'autres amateurs s'intéressaient à acquérir l'immeuble, de sorte que sa décision d'acheter devait intervenir rapidement. Toujours le 21 octobre 2010, le recourant a conclu avec l'intimé un second contrat de courtage de négociation. Selon cet accord, l'intimé se déclarait prêt à payer pour la villa le prix de 1'800'000 fr., somme à laquelle devait s'ajouter une commission de courtage globale de 30'000 fr. (incluant 5'000 fr. de " commission de succès "). Le 26 octobre 2010, C.________ a vendu sa villa à l'intimé au prix de 1'800'000 fr., l'entrée en jouissance étant agendée au 1 er février 2011.</w:t>
      </w:r>
    </w:p>
    <w:p>
      <w:r>
        <w:rPr>
          <w:b/>
        </w:rPr>
        <w:t>E. 4.3</w:t>
      </w:r>
    </w:p>
    <w:p>
      <w:r>
        <w:t>L'enchaînement de ces événements amène le Tribunal fédéral à poser les principes suivants. En matière immobilière, le simple fait pour un courtier de conclure un contrat de courtage de négociation avec le vendeur (respectivement l'acheteur) d'un bien-fonds entraîne un conflit d'intérêts s'il conclut avec l'acheteur (respectivement le vendeur) un second courtage de négociation. Dans un tel cas de figure, il est en effet inconcevable que le courtier négociateur d'immeubles, qui doit obtenir le prix le plus haut pour le vendeur et le prix le plus bas pour l'acheteur, ne se trouve pas dans une situation à risque de conflit d'intérêts, dès l'instant où il est appelé à défendre des intérêts opposés: en effet, soit le courtier favorise les intérêts financiers de l'une ou l'autre des parties à la transaction immobilière, de sorte qu'il enfreint son obligation de fidélité ( art. 412 al. 2 CO qui renvoie à l' art. 398 al. 2 CO ) à l'égard d'un de ses mandants; soit il agit, comme dans la présente espèce, dans son propre intérêt, cela au mépris des devoirs de fidélité que la passation des deux contrats de courtage avec ses mandants ont fait naître. In casu, il appert que le recourant a incité la venderesse à accepter une baisse du prix de vente net à 1'755'000 fr. - sans l'avoir informée qu'un tiers avait présenté une offre plus élevée que celle de l'intimé - et s'est fait promettre par celle-ci que tout montant payé par l'acheteur dépassant le prix réduit lui reviendrait à titre de commission de courtage. Dans le même temps, il a conduit les négociations avec l'intimé, mais il ne l'a pas fait bénéficier du prix de vente réduit par la venderesse, puisqu'il a fait état à l'acheteur d'un prix de 1'800'000 fr. (qui sera le prix de vente définitif), auquel devait s'ajouter pour celui-ci le paiement au courtier d'une commission de courtage de 25'000 fr., plus 5'000 fr. de " commission de succès ". Le caractère inévitable du conflit d'intérêts en matière de vente immobilière est reconnu en doctrine (cf. THÉVENOZ/PEYROT, Le contrat de courtage immobilier, in Servitudes, droit de voisinage, responsabilités du propriétaire immobilier, 2007, p. 129; HEINRICH HONSELL, Schweizerisches Obligationenrecht, Besonderer Teil, 9 e éd. 2010, p. 357; CLAIRE HUGUENIN, Obligationenrecht, Allgemeiner und Besonderer Teil, 2 e éd. 2014, n° 3369 p. 1012; AMMANN, op. cit., n° 4 ad art. 415 CO ). En conséquence, il convient d'admettre, dans le domaine immobilier, que le double courtage de négociation tombe sous le coup de la situation visée à l'art. 415 in fine CO, que les deux contrats sont nuls et que le courtier perd son droit au salaire en rapport avec les deux contrats. En jugeant que le recourant devait être déchu de son droit au salaire à l'égard de l'intimé, la cour cantonale n'a pas transgressé l' art. 415 CO .</w:t>
      </w:r>
    </w:p>
    <w:p>
      <w:r>
        <w:rPr>
          <w:b/>
        </w:rPr>
        <w:t>E. 4.4</w:t>
      </w:r>
    </w:p>
    <w:p>
      <w:r>
        <w:t>Comme la première motivation qui a permis à la cour cantonale de déchoir le recourant de son droit au salaire a résisté à l'examen, il est superflu d'examiner la seconde motivation de cette juridiction.</w:t>
      </w:r>
    </w:p>
    <w:p>
      <w:r>
        <w:rPr>
          <w:b/>
        </w:rPr>
        <w:t>E. 5</w:t>
      </w:r>
    </w:p>
    <w:p>
      <w:r>
        <w:t>En définitive, le recours en matière civile doit être rejeté. Vu l'issue du litige, le recourant paiera les frais judiciaires et versera à l'intimé une indemnité à titre de dépens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