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4A_213/2022 vom 23. September 2022</w:t>
      </w:r>
    </w:p>
    <w:p>
      <w:r>
        <w:t>Bundesgericht, 2022-09-23, FR</w:t>
      </w:r>
    </w:p>
    <w:p>
      <w:r>
        <w:rPr>
          <w:b/>
        </w:rPr>
        <w:t xml:space="preserve">Quelle: </w:t>
      </w:r>
      <w:r>
        <w:t>https://mcp.opencaselaw.ch/entscheid/bger_4A_213_2022</w:t>
      </w:r>
    </w:p>
    <w:p>
      <w:r>
        <w:t>FR: TF 4A_213/2022 du 23 septembre 2022</w:t>
      </w:r>
    </w:p>
    <w:p>
      <w:r>
        <w:t>IT: TF 4A_213/2022 del 23 settembre 2022</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w:t>
      </w:r>
    </w:p>
    <w:p>
      <w:r>
        <w:t>L'ordonnance de preuves du 23 septembre 2021 n'a pas terminé l'instance introduite devant le Tribunal des prud'hommes; ce prononcé est au contraire incident aux termes de l' art. 93 al. 1 LTF . L'arrêt de la cour cantonale a terminé l'instance introduite devant elle; néanmoins, parce que le recours à l'origine de cet arrêt était dirigé contre une décision incidente, l'arrêt revêt lui aussi le caractère d'une décision incidente selon l' art. 93 al. 1 LTF ( ATF 142 III 653 consid. 1.1).</w:t>
      </w:r>
    </w:p>
    <w:p>
      <w:r>
        <w:t>L'hypothèse visée par l' art. 93 al. 1 let. b LTF n'entrant pas en ligne de compte, le recours en matière civile n'est recevable que si la décision incidente peut causer un préjudice irréparable aux termes de l' art. 93 al. 1 let. a LTF . Selon la jurisprudence, cette condition n'est réalisée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144 III 475 consid. 1.2; 142 III 798 consid. 2.2; 141 III 80 consid. 1.2). Il incombe au recourant de démontrer l'existence d'un tel préjudice lorsque celui-ci n'est pas d'emblée évident ( ATF 141 III 80 consid. 1.2; 138 III 46 consid. 1.2; 137 III 522 consid. 1.3).</w:t>
      </w:r>
    </w:p>
    <w:p>
      <w:r>
        <w:rPr>
          <w:b/>
        </w:rPr>
        <w:t>E. 1.2</w:t>
      </w:r>
    </w:p>
    <w:p>
      <w:r>
        <w:t>La recourante fait valoir que la production de l'intégralité de la procédure pénale P/7043/2012 et l'audition de E.________ en qualité de témoin porteraient atteinte à sa sphère privée, dont la protection serait garantie par les art. 13 Cst. et 156 CPC. Les parties adverses auraient accès à la procédure pénale, comprenant des données personnelles sensibles. Une fois ces informations sensibles mises à disposition des intimées, et éventuellement des témoins, l'atteinte à sa sphère privée ne pourrait plus être réparée. Ce préjudice était de nature juridique puisqu'il résultait d'une violation de dispositions légales visant à protéger sa sphère privée.</w:t>
      </w:r>
    </w:p>
    <w:p>
      <w:r>
        <w:t>Toutefois, la question de savoir si la recourante a suffisamment démontré l'existence d'un préjudice irréparable peut demeurer ouverte, dès lors que le recours doit de toute manière être rejeté, dans la mesure où il est recevable (cf. consid. 4 ss</w:t>
      </w:r>
    </w:p>
    <w:p>
      <w:r>
        <w:t>infra ).</w:t>
      </w:r>
    </w:p>
    <w:p>
      <w:r>
        <w:rPr>
          <w:b/>
        </w:rPr>
        <w:t>E. 1.3</w:t>
      </w:r>
    </w:p>
    <w:p>
      <w:r>
        <w:t>Pour la même raison, il n'y a pas lieu d'examiner la recevabilité des différentes conclusions formées par la recourante.</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2.3</w:t>
      </w:r>
    </w:p>
    <w:p>
      <w:r>
        <w:t>La recourante sollicite tout d'abord un complètement de l'état de fait cantonal sur un point, à savoir que les parties ont signé le contrat de travail le 23 novembre 2017 avec une date d'entrée en service au 1er janvier 2018. Toutefois, cela ne peut être considéré comme juridiquement pertinent (cf. consid. 4.3</w:t>
      </w:r>
    </w:p>
    <w:p>
      <w:r>
        <w:t>infra ).</w:t>
      </w:r>
    </w:p>
    <w:p>
      <w:r>
        <w:rPr>
          <w:b/>
        </w:rPr>
        <w:t>E. 3</w:t>
      </w:r>
    </w:p>
    <w:p>
      <w:r>
        <w:t>En l'espèce, la cour cantonale a considéré que les agissements de l'employée ayant donné lieu à la procédure pénale P/7043/2012 constituaient des faits pertinents au sens de l' art. 150 CPC . Elle a expliqué que le tribunal devrait apprécier l'existence de justes motifs de résiliation immédiate ayant conduit au licenciement de l'employée le 27 mai 2019. Pour ce faire, il devrait déterminer si la candidate était tenue d'informer son futur employeur de l'existence de cette procédure. Le cas échéant, il devrait instruire le contenu des informations que la candidate avait porté à la connaissance du futur employeur lors de l'entretien d'embauche, notamment par le biais de l'audition de D.________. La production de la procédure pénale était de nature à apprécier la matérialité des reproches adressés par l'ancien employeur à l'égard de la candidate dans le cadre de l'exécution de son travail, permettant ainsi de déterminer les contours de l'information qu'elle devait fournir à son futur employeur lors de l'entretien d'embauche. Compte tenu des reproches formulés à son endroit par son ancien employeur, liés à l'accomplissement de ses tâches, et de la position dirigeante occupée par elle auprès des sociétés intimées (..., puis</w:t>
      </w:r>
    </w:p>
    <w:p>
      <w:r>
        <w:t>Managing Director ), la matérialité des faits reprochés par son ancien employeur (escroquerie et faux dans les titres) pouvait constituer des faits pertinents au regard du contenu des informations qu'elle devait révéler. Il en allait de même s'agissant de l'audition du témoin E.________. Le cas échéant, il appartiendrait à l'employée, lors de cette audition, de s'opposer à toutes questions qui ne seraient pas conformes à l'offre de preuves ou qui ne porteraient pas sur des faits pertinents. Au final, la cour cantonale a considéré que l'intérêt à la manifestation de la vérité l'emportait sur l'intérêt à garder le secret sur ces faits.</w:t>
      </w:r>
    </w:p>
    <w:p>
      <w:r>
        <w:rPr>
          <w:b/>
        </w:rPr>
        <w:t>E. 4</w:t>
      </w:r>
    </w:p>
    <w:p>
      <w:r>
        <w:t>La recourante soutient tout d'abord que le contenu du dossier pénal et le témoignage de E.________ ne sont pas pertinents pour l'analyse à laquelle devra procéder le tribunal. Elle soutient que l' ATF 132 II 161 , auquel la cour cantonale a fait référence, ne s'applique pas à son cas. Elle dénonce une violation de l' art. 156 CPC .</w:t>
      </w:r>
    </w:p>
    <w:p>
      <w:r>
        <w:rPr>
          <w:b/>
        </w:rPr>
        <w:t>E. 4.1</w:t>
      </w:r>
    </w:p>
    <w:p>
      <w:r>
        <w:t>L'argumentation de la recourante tend toutefois à démontrer une violation de l' art. 150 al. 1 CPC , lequel prévoit que la preuve a pour objet les faits pertinents et contestés.</w:t>
      </w:r>
    </w:p>
    <w:p>
      <w:r>
        <w:t>Dans l' ATF 132 II 161 , le Tribunal fédéral a considéré qu'une candidate à un poste à la Direction générale des douanes devait révéler spontanément lors de l'entretien d'embauche qu'elle faisait l'objet d'une poursuite pénale pour homicide, ce qui mettait notamment en cause sa capacité de travail tant sur la plan de la qualité que de la disponibilité en temps; dès lors, le contrat de travail de droit public pouvait être annulé pour vice du consentement (consid. 4.3.1 ss de l'ATF précité).</w:t>
      </w:r>
    </w:p>
    <w:p>
      <w:r>
        <w:rPr>
          <w:b/>
        </w:rPr>
        <w:t>E. 4.2</w:t>
      </w:r>
    </w:p>
    <w:p>
      <w:r>
        <w:t>La recourante soutient que son cas différerait de celui ayant donné lieu à cet ATF, puisqu'elle avait informé son futur employeur du litige - même si les intimées le contestent -, que les parties avaient entretenu des rapports de travail à l'entière satisfaction de l'employeur pendant plus d'une année et demie avant le licenciement, et que les intimées n'avaient pas invoqué un vice de consentement pour se départir du contrat.</w:t>
      </w:r>
    </w:p>
    <w:p>
      <w:r>
        <w:rPr>
          <w:b/>
        </w:rPr>
        <w:t>E. 4.3</w:t>
      </w:r>
    </w:p>
    <w:p>
      <w:r>
        <w:t>Toutefois, les juges cantonaux ont uniquement mentionné cet ATF pour retenir que lors d'un entretien d'embauche, le candidat peut, selon les circonstances, être obligé de révéler l'existence d'une procédure pénale. Ils ont ainsi retenu que le tribunal devait déterminer les contours du devoir d'information de la recourante lors de l'entretien d'embauche. A cet égard, ils ont à juste titre considéré que les éléments qui lui étaient reprochés pénalement constituaient des faits pertinents pouvant légitimer une administration des preuves sur ces faits, soit la production de la procédure pénale inhérente à ce conflit et l'audition d'un témoin. Cela se justifie tout particulièrement au vu de la nature des faits qui ont été reprochés pénalement à la recourante, qu'elle aurait de surcroît commis au détriment d'un ancien employeur. De plus, il faut rappeler la position dirigeante occupée par la recourante au sein des intimées. Elle a au demeurant elle-même initié la procédure civile. Contrairement à ce qu'elle semble alléguer, le fait que la procédure pénale n'est pas terminée n'est pas pertinent pour statuer dans le procès civil.</w:t>
      </w:r>
    </w:p>
    <w:p>
      <w:r>
        <w:t>Comme le soutient la recourante, il est clair que la procédure pénale et l'audition du témoin ne permettront pas de déterminer les informations que la recourante aurait communiquées lors de son entretien d'embauche. Cela n'est toutefois pas déterminant ici; la cour cantonale en était parfaitement consciente et a expressément relevé l'utilité de l'audition de D.________ à cet égard. Par ailleurs, la recourante ne saurait être suivie lorsqu'elle affirme, sur la seule base de l'ATF précité et de son sentiment personnel, que le reproche formulé par les intimées ne pouvait être constitutif de justes motifs après plus d'une année et demie de collaboration. Enfin, toujours en lien avec cet ATF, il est évident qu'il importe peu que les intimées ne se soient pas prévalues d'une erreur essentielle, mais ont procédé à un licenciement immédiat.</w:t>
      </w:r>
    </w:p>
    <w:p>
      <w:r>
        <w:rPr>
          <w:b/>
        </w:rPr>
        <w:t>E. 5</w:t>
      </w:r>
    </w:p>
    <w:p>
      <w:r>
        <w:t>La recourante fait encore valoir que les offres de preuves litigieuses ne revêtent aucune pertinence, car les faits en lien avec la procédure pénale ne pourront de toute façon pas être pris en compte dans l'appréciation des justes motifs de licenciement. En effet, d'après la recourante, les intimées n'avaient pas respecté leur devoir de clarifier les faits avant de procéder au licenciement immédiat. Elles lui avaient signifié le congé dès qu'elles avaient appris le séquestre du salaire et s'étaient désintéressées de la procédure pénale. Elles avaient ainsi perdu la possibilité de justifier ce licenciement par les données qui n'étaient pas en leur possession à ce moment-là. La recourante dénonce une violation de l' art. 150 al. 1 CPC .</w:t>
      </w:r>
    </w:p>
    <w:p>
      <w:r>
        <w:rPr>
          <w:b/>
        </w:rPr>
        <w:t>E. 5.1</w:t>
      </w:r>
    </w:p>
    <w:p>
      <w:r>
        <w:t>En vertu du principe de l'épuisement des griefs, le recours au Tribunal fédéral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4A_50/2022 du 24 juin 2022 consid. 3.2.1; 4A_40/2021 du 10 juin 2021 consid. 3.2 et les références citées).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l'appelé,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A moins que la violation du droit ne soit manifeste, la cour cantonale se limitera en principe à examiner les griefs que les parties adressent à la motivation du premier jugement dans le mémoire et dans la réponse ( ATF 144 III 394 consid. 4.1.4; arrêts précités 4A_50/2022 consid. 3.2.1; 4A_40/2021 consid. 3.2 et les références).</w:t>
      </w:r>
    </w:p>
    <w:p>
      <w:r>
        <w:rPr>
          <w:b/>
        </w:rPr>
        <w:t>E. 5.2</w:t>
      </w:r>
    </w:p>
    <w:p>
      <w:r>
        <w:t>En l'occurrence, l'employée n'a, devant la cour cantonale, pas soulevé de critiques en lien avec le fait que les éléments de la procédure pénale ne pourraient pas être pris en compte dans l'appréciation des justes motifs de licenciement invoqués. Les juges cantonaux n'ont pas examiné ce point qui, de surcroît, ne consacre pas une violation manifeste du droit. Dès lors, l'argument formulé par la recourante à ce sujet est irrecevable au regard du principe de l'épuisement des griefs. Par ailleurs, il repose sur des faits qui n'ont pas été constatés par la cour cantonale, s'agissant notamment du contexte dans lequel le licenciement immédiat a été signifié, sans que la recourante ne requière, en bonne et due forme, un complètement de l'état de fait à cet égard. Il ne peut ainsi quoi qu'il en soit pas en être tenu compte.</w:t>
      </w:r>
    </w:p>
    <w:p>
      <w:r>
        <w:rPr>
          <w:b/>
        </w:rPr>
        <w:t>E. 6</w:t>
      </w:r>
    </w:p>
    <w:p>
      <w:r>
        <w:t>La recourante expose encore à différents endroits de son recours que les juges précédents auraient violé l' art. 156 CPC car ils auraient failli à leur devoir de préserver sa sphère privée par des mesures proportionnées. Là encore, la recourante se fonde sur un argument qu'elle n'a pas invoqué devant l'instance précédente. Elle n'allègue d'ailleurs même pas avoir demandé l'instauration des mesures de protection procédurales prévues par l' art. 156 CPC , alors qu'il lui appartenait de le faire ( ATF 148 III 84 consid. 3.5.2). Les quelques lignes qu'elle a développées devant la cour cantonale en lien avec l' art. 13 Cst. ne sont pas suffisantes.</w:t>
      </w:r>
    </w:p>
    <w:p>
      <w:r>
        <w:t>Il en va de même lorsque la recourante dénonce une violation des art. 55 al. 1 et 152 al. 1 CPC en faisant notamment valoir que les intimées ont proposé les offres de preuves litigieuses sur des allégués que ces dernières n'étaient pas aptes à établir, que les intimées n'avaient pas allégué le résultat auquel l'administration de ces moyens de preuve devait aboutir, ou encore que les éléments qui lui étaient reprochés figuraient déjà dans l'arrêt cantonal du 30 mars 2020. La recourante n'a pas soulevé clairement ces griefs devant la cour cantonale. Dans le présent recours, l'intéressée se limite à renvoyer à un passage de son écriture déposée devant l'instance précédente, lequel ne fait état, en substance, que d'une phrase théorique sur la prohibition des</w:t>
      </w:r>
    </w:p>
    <w:p>
      <w:r>
        <w:t>fishing expedition .</w:t>
      </w:r>
    </w:p>
    <w:p>
      <w:r>
        <w:rPr>
          <w:b/>
        </w:rPr>
        <w:t>E. 7</w:t>
      </w:r>
    </w:p>
    <w:p>
      <w:r>
        <w:t>Enfin, la recourante dénonce une violation de l' art. 13 Cst. Elle soutient qu'il ressort de ses arguments précités que l'administration des moyens de preuve litigieux sont superflus, inadéquats et disproportionnés au regard de ses intérêts. Elle ajoute qu'ils portent atteinte à sa personnalité aux fins de permettre aux intimées de tenter d'établir des faits non allégués et non pertinents.</w:t>
      </w:r>
    </w:p>
    <w:p>
      <w:r>
        <w:t>Toutefois, comme on l'a vu, les arguments sur lesquels se fonde la recourante doivent soit être rejetés, soit être déclarés irrecevables. Par ailleurs, les quelques lignes que la recourante consacre à la prétendue violation d'un droit constitutionnel ne satisfont pas aux exigences de motivation accrue prévalant en la matière.</w:t>
      </w:r>
    </w:p>
    <w:p>
      <w:r>
        <w:rPr>
          <w:b/>
        </w:rPr>
        <w:t>E. 8</w:t>
      </w:r>
    </w:p>
    <w:p>
      <w:r>
        <w:t>En définitive, le recours doit être rejeté, dans la mesure où il est recevable.</w:t>
      </w:r>
    </w:p>
    <w:p>
      <w:r>
        <w:t>La recourante supporte les frais judiciaires ( art. 66 al. 1 LTF ). De plus, elle versera aux intimées une indemnité de dépens ( art. 68 al. 1 et 2 LTF ); il est évident que les intimées sont à cet égard créancières solidaires, de sorte que le dispositif est complété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