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213/2020 vom 5. Oktober 2020</w:t>
      </w:r>
    </w:p>
    <w:p>
      <w:r>
        <w:t>Bundesgericht, 2020-10-05, DE</w:t>
      </w:r>
    </w:p>
    <w:p>
      <w:r>
        <w:rPr>
          <w:b/>
        </w:rPr>
        <w:t xml:space="preserve">Quelle: </w:t>
      </w:r>
      <w:r>
        <w:t>https://mcp.opencaselaw.ch/entscheid/bger_4A_213_2020</w:t>
      </w:r>
    </w:p>
    <w:p>
      <w:r>
        <w:t>FR: TF 4A 213/2020 du 5 octobre 2020</w:t>
      </w:r>
    </w:p>
    <w:p>
      <w:r>
        <w:t>IT: TF 4A 213/2020 del 5 ottobre 2020</w:t>
      </w:r>
    </w:p>
    <w:p>
      <w:pPr>
        <w:pStyle w:val="Heading2"/>
      </w:pPr>
      <w:r>
        <w:t>Regeste</w:t>
      </w:r>
    </w:p>
    <w:p>
      <w:r>
        <w:t>Mietvertrag; Kündigungsanfechtung/Erstreckung, Streitwert, | Vertragsrecht</w:t>
      </w:r>
    </w:p>
    <w:p>
      <w:pPr>
        <w:pStyle w:val="Heading2"/>
      </w:pPr>
      <w:r>
        <w:t>Erwägungen</w:t>
      </w:r>
    </w:p>
    <w:p>
      <w:r>
        <w:rPr>
          <w:b/>
        </w:rPr>
        <w:t>E. 1</w:t>
      </w:r>
    </w:p>
    <w:p>
      <w:r>
        <w:t>Die Vorinstanz hat im angefochtenen Entscheid den erstinstanzlichen Entscheid des Einzelgerichts aufgehoben und die Sache an das Kollegialgericht zur Neubeurteilung zurückgewiesen. Solche Rückweisungsentscheide kantonaler Rechtsmittelinstanzen schliessen das Verfahren nicht ab. Es handelt sich folglich nicht um einen Endentscheid im Sinne von Art. 90 BGG . Vielmehr liegt ein Zwischenentscheid vor (vgl. BGE 144 III 253 E. 1.3 S. 253). Gegen selbstständig eröffnete Zwischenentscheide über die Zuständigkeit ist gemäss Art. 92 Abs. 1 BGG die Beschwerde zulässig; diese können später nicht mehr angefochten werden ( Art. 92 Abs. 2 BGG ). Anfechtbar sind Entscheide, welche sich auf die örtliche, sachliche oder auch auf die funktionelle Zuständigkeit beziehen ( BGE 138 III 558 E. 1.3; 133 IV 288 E. 2.1). Der vorinstanzliche Zwischenentscheid bezieht sich auf die sachliche Zuständigkeit, mithin ob das Mietgericht als Einzelgericht oder Kollegialgericht zuständig ist, und ist damit selbstständig anfechtbar (Urteil 4A_488/2014 vom 20. Februar 2015 E. 1.1, nicht publ. in BGE 141 III 137 ). Bei Zwischenentscheiden folgt der Rechtsweg jenem der Hauptsache ( BGE 137 III 380 E. 1.1 S. 382; 133 III 645 E. 2.2 S. 647 f.). In der Hauptsache geht es um eine mietrechtliche Streitigkeit. Die Höhe des Streitwerts ist umstritten. Nach den Feststellungen der Vorinstanz beträgt der Streitwert "mindestens Fr. 38'400.--". Die Beschwerdeführerin stellt sich demgegenüber auf den Standpunkt, der Streitwert betrage Fr. 28'800.--, eventualiter Fr. 22'464.-- und subeventualiter Fr. 29'952.--. Wie hoch der Streitwert vor Bundesgericht genau wäre, und ob die Streitwertgrenze in mietrechtlichen Fällen von Fr. 15'000.--erreicht würde ( Art. 74 Abs. 1 lit. a BGG ), braucht nicht entschieden zu werden, da auf die Beschwerde aus anderem Gründen nicht eingetreten wird.</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moniert, die Vorinstanz habe den Sachverhalt offensichtlich unvollständig festgestellt. Es sei zwar richtig, wenn die Vorinstanz feststelle, dass der klagende Beschwerdegegner in seiner erstinstanzlichen Klageschrift einen Streitwert von Fr. 28'800.-- angegeben habe, nämlich den monatlichen Mietzins von Fr. 800.-- während der dreijährigen Sperrfrist von Art. 271a Abs. 1 lit. e OR . Die Vorinstanz habe jedoch nicht berücksichtigt, dass der Beschwerdegegner an der erstinstanzlichen Hauptverhandlung vom 23. März 2018 die Streitwertangabe von Fr. 28'800.-- wiederholte, dazu aber ergänzte, der Mietzins sei eigentlich tiefer. Er habe ausgeführt, der Streitwert betrage Fr. 22'464.--, berechnet anhand des reduzierten Mietzinses von Fr. 624.-- aufgrund der Rückgabe einer Teilfläche des Mietobjekts am 1. Oktober 2013 (Fr. 624.-- x 12 x 3). Offensichtlich unvollständig sei die Sachverhaltsfeststellung auch darum, weil die Vorinstanz übergehe, dass ihr damaliger Vertreter an der Hauptverhandlung vom 23. März 2018 sich zum Vorbringen des Beschwerdegegners nicht äusserte und damit dessen Behauptung zum Streitwert stillschweigend zustimmte. Die Parteien hätten sich somit über den Streitwert geeinigt, was die Vorinstanz übersehen habe. Diese Auslassungen der Vorinstanz seien willkürlich, weil sie sich offensichtlich aus den genannten erstinstanzlichen Eingaben ergäben. Gleichzeitig habe die Vorinstanz zum Sachverhaltselement der Einigung der Parteien über den Streitwert i.S.v. Art. 91 Abs. 2 ZPO keine tatsächlichen Erhebungen angestellt. Damit sei auch Art. 95 lit. a BGG verletzt, weil ein rechtserheblicher Sachverhalt nicht festgestellt worden sei.</w:t>
      </w:r>
    </w:p>
    <w:p>
      <w:r>
        <w:rPr>
          <w:b/>
        </w:rPr>
        <w:t>E. 3.2</w:t>
      </w:r>
    </w:p>
    <w:p>
      <w:r>
        <w:t>Die Vorinstanz stellte fest, dass der Beschwerdegegner als Mieter in seiner Klage einen Streitwert von Fr. 28'800.-- angegeben habe, nämlich der monatliche Mietzins von Fr. 800.-- während der dreijährigen Sperrfrist von Art. 271a Abs. 1 lit. e OR . Die Erstinstanz habe dies so übernommen. Weitere Sachverhaltsfeststellungen zum Streitwert traf die Vorinstanz nicht. Für eine rechtsgenügliche Sachverhaltsergänzung ist es an der Beschwerdeführerin mit präzisen Aktenhinweisen darzulegen, dass sie obigen Behauptungen und entsprechende Beweismittel bereits bei den Vorinstanzen prozesskonform eingebracht hat (Erwägung 2.2). Das zeigt die Beschwerdeführerin nicht auf. Sie weist das Bundesgericht zwar auf die Ausführungen des Beschwerdegegners in der erstinstanzlichen Klageschrift und auf die Ausführungen der Parteien in der erstinstanzlichen Hauptverhandlung hin. Sie legt damit die Stellen dar, wo der Beschwerdegegner die Behauptungen zum Streitwert vor der Erstinstanz vorbrachte und ihr ehemaliger Vertreter sich dazu nicht äusserte. Sie zeigt jedoch nicht mit präzisen Aktenhinweisen auf, dass sie diese Punkte prozesskonform ins vorinstanzliche Verfahren eingebracht und die Vorinstanz auf diese tatsächlichen Vorbringen zum Streitwert aufmerksam gemacht hätte. Solches ist im Übrigen auch nicht ersichtlich. Dabei ist erschwerend zu berücksichtigen, dass die Vorinstanz den Parteien mit Verfügung vom 17. Januar 2020 ausdrücklich Frist ansetzte, um sich zum Streitwert und zur Zuständigkeit des erstinstanzlichen Gerichts zu äussern (oben Sachverhalt B). Dabei unterliess es die Beschwerdeführerin in ihrer diesbezüglichen Stellungnahme vom 28. Januar 2020 (vorinstanzliches act. 73), die Vorinstanz auf die oben dargelegten, tatsächlichen Vorbringen zum Streitwert hinzuweisen. Die Beschwerdeführerin genügt damit den strengen Anforderungen an Sachverhaltsrügen nicht. Es bleibt demnach beim vorinstanzlich festgestellten Sachverhalt.</w:t>
      </w:r>
    </w:p>
    <w:p>
      <w:r>
        <w:rPr>
          <w:b/>
        </w:rPr>
        <w:t>E. 4</w:t>
      </w:r>
    </w:p>
    <w:p>
      <w:r>
        <w:t>Die Beschwerdeführerin kommt gestützt auf ihre eigene Sachverhaltsdarstellung zum Schluss, die Vorinstanz habe Art. 91 Abs. 2 ZPO , Art. 1 Abs. 2 OR und Art. 6 OR sowie Art. 112 Abs. 1 lit. b BGG verletzt, weil sich die Parteien auf einen Streitwert von Fr. 28'800.--, eventuell von Fr. 22'464.--, geeinigt hätten. Selbst wenn keine Einigung vorläge, würde gestützt auf den vom Beschwerdegegner behaupteten Mietzins von Fr. 624.-- der Streitwert nur Fr. 29'952.-- betragen (Fr. 624.-- x 12 x 3), womit auch in diesem Fall die Streitwertgrenze von Fr. 30'000.-- nach § 26 Abs. 1 GOG/ZH unterschritten wäre. Auf diese Sachdarstellung kann sich die Beschwerdeführerin - wie gerade darlegt - für ihre Rechtsrügen nicht stützen (Erwägung 3.2). Inwiefern die Vorinstanz unter Zugrundelegung des vorinstanzlich festgestellten Sachverhalts Bundesrecht verletzt hätte, zeigt die Beschwerdeführerin nicht auf, zumindest nicht rechtsgenüglich (Erwägung 2.1).</w:t>
      </w:r>
    </w:p>
    <w:p>
      <w:r>
        <w:rPr>
          <w:b/>
        </w:rPr>
        <w:t>E. 5</w:t>
      </w:r>
    </w:p>
    <w:p>
      <w:r>
        <w:t>Nach dem Gesagten ist auf die Beschwerde nicht einzutreten. Bei diesem Ausgang des Verfahrens wird die Beschwerdeführerin kostenpflichtig ( Art. 66 Abs. 1 BGG ). Der Beschwerdegegner liess sich zur Beschwerde nicht vernehmen, weshalb ihm keine 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