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213/2017 vom 27. Oktober 2017</w:t>
      </w:r>
    </w:p>
    <w:p>
      <w:r>
        <w:t>Bundesgericht, 2017-10-27, FR</w:t>
      </w:r>
    </w:p>
    <w:p>
      <w:r>
        <w:rPr>
          <w:b/>
        </w:rPr>
        <w:t xml:space="preserve">Quelle: </w:t>
      </w:r>
      <w:r>
        <w:t>https://mcp.opencaselaw.ch/entscheid/bger_4A_213_2017</w:t>
      </w:r>
    </w:p>
    <w:p>
      <w:r>
        <w:t>FR: TF 4A 213/2017 du 27 octobre 2017</w:t>
      </w:r>
    </w:p>
    <w:p>
      <w:r>
        <w:t>IT: TF 4A 213/2017 del 27 ottobre 2017</w:t>
      </w:r>
    </w:p>
    <w:p>
      <w:pPr>
        <w:pStyle w:val="Heading2"/>
      </w:pPr>
      <w:r>
        <w:t>Regeste</w:t>
      </w:r>
    </w:p>
    <w:p>
      <w:r>
        <w:t>contrat de courtage | Droit des contrats</w:t>
      </w:r>
    </w:p>
    <w:p>
      <w:pPr>
        <w:pStyle w:val="Heading2"/>
      </w:pPr>
      <w:r>
        <w:t>Erwägungen</w:t>
      </w:r>
    </w:p>
    <w:p>
      <w:r>
        <w:rPr>
          <w:b/>
        </w:rPr>
        <w:t>E. 1</w:t>
      </w:r>
    </w:p>
    <w:p>
      <w:r>
        <w:t>Les conditions de recevabilité du recours en matière civile sont satisfaites, notamment à raison de la valeur litigieuse. Il est nécessaire d'élucider si la qualité pour défendre à l'action en paiement et, dans la présente instance, la qualité de partie intimée doit être actuellement attribuée à Z.________ SA, à Y.________ SA ou à ces deux sociétés.</w:t>
      </w:r>
    </w:p>
    <w:p>
      <w:r>
        <w:rPr>
          <w:b/>
        </w:rPr>
        <w:t>E. 1.1</w:t>
      </w:r>
    </w:p>
    <w:p>
      <w:r>
        <w:t>Celles-ci ont conclu un contrat de transfert de patrimoine régi par les art. 69 et suivants de la loi fédérale sur la fusion, la scission, la transformation et le transfert de patrimoine (LFus). Il y a lieu de présumer que ce contrat comporte un inventaire désignant clairement les objets du patrimoine actif et passif à transférer, conformément à l' art. 71 al. 1 let. b LFus . Par l'effet de l' art. 73 al. 2 LFus , les objets ainsi inventoriés sont passés de plein droit à Y.________ SA avec l'inscription du transfert sur le registre du commerce; cette inscription est intervenue le 5 avril 2017. Les autres objets actifs ou passifs de Z.________ SA sont restés à cette société-ci conformément à l' art. 72 LFus .</w:t>
      </w:r>
    </w:p>
    <w:p>
      <w:r>
        <w:rPr>
          <w:b/>
        </w:rPr>
        <w:t>E. 2</w:t>
      </w:r>
    </w:p>
    <w:p>
      <w:r>
        <w:t>Selon l' art. 37 let. b LFus , un projet ou contrat de scission de société comporte lui aussi un inventaire désignant clairement les objets du patrimoine actif et passif que la société transférante aliénera à la société reprenante. D'après la jurisprudence relative à l' art. 17 al. 3 PCF , la scission provoque une succession universelle partielle limitée aux objets portés à l'inventaire; lorsque ceux-ci sont par ailleurs l'objet d'un procès, la qualité de partie à ce procès passe de plein droit de la société transférante à la société reprenante, sans qu'un consentement de l'adverse partie ne soit nécessaire (arrêt 4C.385/2005 du 31 janvier 2006, consid. 1.2.2, Pra 2006 n° 108 p. 751). Par analogie, il s'impose d'admettre qu'un transfert de patrimoine tel celui convenu entre Z.________ SA et Y.________ SA entraîne le même effet relativement aux objets inventoriés.</w:t>
      </w:r>
    </w:p>
    <w:p>
      <w:r>
        <w:rPr>
          <w:b/>
        </w:rPr>
        <w:t>E. 2.1</w:t>
      </w:r>
    </w:p>
    <w:p>
      <w:r>
        <w:t>Dans les écritures qu'elle adresse au Tribunal fédéral, Y.________ SA argue inexactement d'une « intégration juridique » de Z.________ SA car cette dernière continue d'exister avec un patrimoine propre, lequel consiste dans l'ensemble des objets actifs et passifs qui ne sont pas inventoriés. L'inventaire des objets transférés n'a pas été produit et le Tribunal fédéral ignore donc si les obligations contractuelles encore actuelles de Z.________ SA envers la demanderesse y sont incluses. Une instruction supplémentaire n'est cependant pas nécessaire sur ce point. En effet, par son attitude, Y.________ SA revendique sans équivoque la qualité pour défendre dans le procès relatif auxdites obligations, y compris le droit de prendre part à la présente instance à titre d'intimée; il y a donc lieu d'admettre que ces obligations contractuelles lui ont été transférées. Compte tenu que Z.________ SA demeure solidairement obligée durant trois ans en vertu de l' art. 75 al. 1 et 2 LFus , il y a aussi lieu d'admettre que les deux sociétés ont qualité pour défendre et qualité de parties devant le Tribunal fédéral. Dans le contexte spécifique de la présente affaire, caractérisé par un transfert de patrimoine intervenu après la décision cantonale de dernière instance et par l'intervention spontanée de la société reprenante dans l'instance fédérale, les conclusions nouvelles de la demanderesse doivent être jugées recevables nonobstant l' art. 99 al. 2 LTF .</w:t>
      </w:r>
    </w:p>
    <w:p>
      <w:r>
        <w:rPr>
          <w:b/>
        </w:rPr>
        <w:t>E. 3</w:t>
      </w:r>
    </w:p>
    <w:p>
      <w:r>
        <w:t>A L.________ d'abord et à la Banque U.________ ensuite, la demanderesse a fourni des prestations d'avocat soumises aux règles du mandat, pour lesquelles elle pouvait donc prétendre à rémunération et à remboursement de ses frais sur la base des art. 394 al. 3 et 402 al. 1 CO. Elle a effectivement reçu certains montants à ce titre. Après que la Banque U.________ eut été absorbée par la banque Z.________ SA, la demanderesse a conclu un nouveau contrat avec cet établissement-ci, dans les termes de la lettre que ledit établissement lui a adressée le 20 mars 2009. Elle a alors renoncé à toute prestation en argent autre qu'un montant de 700'000 fr., lequel lui était promis sous la condition suspensive que la parcelle n° 1111, ancien état, fût vendue au prix minimum de 9 millions de francs à un acquéreur présenté par elle. Dans son mémoire de recours, la demanderesse conteste vainement la conclusion de ce nouveau contrat car en persévérant dans ses efforts tendant à la vente de l'immeuble, elle a tacitement accepté les modalités énoncées dans la lettre du 20 mars 2009. C'est de plus sur la base de ce document qu'elle réclame actuellement une rémunération chiffrée à 700'000 fr.; cela confirme son acceptation. La demanderesse a ainsi renoncé à tout complément de rémunération et de remboursement de frais dans l'éventualité où la condition suspensive ne s'accomplirait pas. Elle a conventionnellement abandonné, comme le permet l' art. 115 CO , les créances d'honoraires et de remboursement de frais qui lui appartenaient éventuellement à ce moment. Pour l'avenir, elle a renoncé aux prestations en argent que les règles du mandat ordinaire, soit les art. 394 à 406 CO, assurent à un mandataire. Ces renonciations ne contreviennent à aucune disposition impérative de la loi et le contrat est donc pleinement valable. Par suite, la demanderesse se plaint à tort d'une violation des règles du mandat, dans une argumentation d'ailleurs difficilement intelligible.</w:t>
      </w:r>
    </w:p>
    <w:p>
      <w:r>
        <w:rPr>
          <w:b/>
        </w:rPr>
        <w:t>E. 4</w:t>
      </w:r>
    </w:p>
    <w:p>
      <w:r>
        <w:t>Selon la définition de l' art. 412 al. 1 CO , un contrat de courtage se forme lorsqu'une personne, le courtier, se charge contre rémunération d'indiquer à une autre personne, le mandant, l'occasion de conclure un contrat ou de lui servir d'intermédiaire pour la négociation d'un contrat. A bon droit, la Cour de justice retient que la demanderesse et Z.________ SA se sont liées par un contrat de courtage ayant pour objet la vente de la parcelle n° 1111 dans son ancien état. Il n'est pas nécessaire de rechercher si un contrat mixte de courtage et de mandat ordinaire a auparavant existé entre les mêmes parties; en effet, on a vu qu'après le 20 mars 2009, celles-ci ont de toute manière convenu d'exclure les règles du mandat ordinaire concernant la rémunération et le remboursement des frais du mandataire. Aux termes de l' art. 413 al. 1 CO , la rémunération convenue est due au courtier lorsque celui-ci a indiqué au mandant l'occasion de conclure le contrat principal voulu par lui, ou a négocié pour le compte du mandant avec un éventuel cocontractant, et que cette activité a abouti à la conclusion de ce contrat. Cela correspond exactement aux modalités énoncées dans la lettre du 20 mars 2009. Selon la jurisprudence relative à cette disposition, la conclusion du contrat principal voulu par le mandant doit se trouver dans un rapport de causalité avec l'activité du courtier ( ATF 97 II 355 consid. 3 p. 357). Il n'est pas nécessaire que ce résultat soit la conséquence immédiate de l'activité fournie. Il suffit que celle-ci ait été une cause de la décision du tiers satisfaisant à l'objectif du mandant; en d'autres termes, la jurisprudence se contente d'un lien psychologique entre les efforts du courtier et la décision du tiers ( ATF 84 II 542 consid. 5 p. 548/549; 76 II 378 consid. 2 p. 381; arrêt 4A_401/2012 du 16 octobre 2012, consid. 4, SJ 2013 I 211). En règle générale, le rapport de causalité nécessaire entre l'activité du courtier et la conclusion du contrat principal fait défaut lorsque ce contrat ne vient pas à chef entre le mandant et un tiers que le courtier a approché, mais entre le mandant et une quarte personne, car l'activité du courtier n'a alors pas exercé l'influence nécessaire sur la décision de cette personne-ci. Exceptionnellement toutefois, dans des circonstances particulières, nier le rapport de causalité entre l'activité du courtier et la décision du quart cocontractant pourrait se révéler inéquitable; en pareil cas, la rémunération est exceptionnellement due au regard de l' art. 413 al. 1 CO ( ATF 76 II 378 consid. 3 p. 382).</w:t>
      </w:r>
    </w:p>
    <w:p>
      <w:r>
        <w:rPr>
          <w:b/>
        </w:rPr>
        <w:t>E. 5</w:t>
      </w:r>
    </w:p>
    <w:p>
      <w:r>
        <w:t>La demanderesse a introduit auprès de Z.________ SA l'offre d'acquisition présentée par A.________ SA; elle a alors insisté sur le droit de substitution que l'offrante se réservait. Z.________ SA ne s'est pas opposée à cette clause de l'offre; elle l'a au contraire soulignée en transmettant l'offre à l'administration de la masse en faillite. Z.________ SA a ainsi accepté la clause de substitution. Elle devait alors s'attendre à ce que cette clause fût effectivement mise en oeuvre. De toute évidence, il lui était indifférent que A.________ SA recherchât un autre acquéreur directement et en son propre nom, ou au contraire qu'elle sollicitât encore d'autres intermédiaires. L'administration de la masse en faillite ayant accepté son offre, A.________ SA aurait dû l'honorer en achetant ou en faisant acheter l'immeuble le 26 mars 2010, date convenue pour l'acte de vente. Elle ne l'a pas fait. Z.________ SA et l'administration ont ensuite refusé de traiter avec elle. A.________ SA n'a pas pour autant renoncé à l'opération immobilière. Par l'intermédiaire de O.________ dont les relations étaient nombreuses, son organe M.________ est parvenu à réunir un nouveau cercle d'investisseurs disposés à reprendre le projet immobilier qui se trouvait à la base de l'offre. Pour des motifs qui n'ont pas été constatés mais qui sont dépourvus d'importance, ces investisseurs n'ont pas voulu traiter par l'entremise de M.________ ou d'une société dominée par lui, ni avec le concours de X.________. Ils ont fondé B.________ SA, laquelle a acheté la parcelle constructible n° 2222, nouvel état. La parcelle agricole n° 1111, nouvel état, a été vendue le même jour. En définitive, la demanderesse a approché M.________ qui était déjà un usager de l'aéroport de Sion où il exploitait une entreprise; avec le concours de la demanderesse, il s'est efforcé de développer et de mener à chef un projet de mise en valeur de l'immeuble à vendre; par l'entremise d'autres personnes et en dépit de difficultés et de contretemps successifs, il y est parvenu car il est finalement devenu membre du conseil d'administration de la société acquéresse. Du point de vue économique, il y a ainsi continuité entre les démarches de la demanderesse auprès de M.________ et l'aboutissement de la vente le 8 février 2011. Les opérations immobilières dans le domaine des activités aéroportuaires sont peu courantes et elles ne peuvent intéresser qu'un cercle d'amateurs peu étendu. La demanderesse a obtenu le consentement des autorités militaires à un raccordement du terrain à la piste de l'aéroport. Autant du point de vue de A.________ SA, d'abord, que de celui de B.________ SA, plus tard, la possibilité de réaliser ce raccordement était un élément essentiel du contrat de vente d'immeuble. Dans ces circonstances particulières, en dépit du nombre des intermédiaires impliqués et de la complexité de leurs interactions, il existe un lien psychologique entre les efforts de la demanderesse tendant à vendre la parcelle n° 1111, ancien état, à A.________ SA, d'une part, et la vente de la parcelle n° 2222 à B.________ SA, d'autre part. Il s'ensuit que la demanderesse réclame à bon droit la rémunération convenue.</w:t>
      </w:r>
    </w:p>
    <w:p>
      <w:r>
        <w:rPr>
          <w:b/>
        </w:rPr>
        <w:t>E. 6</w:t>
      </w:r>
    </w:p>
    <w:p>
      <w:r>
        <w:t>Selon l'arrêt de la Cour de justice, le lien psychologique manque en raison de plusieurs circonstances : A.________ SA n'a jamais été en mesure de payer le prix qu'elle offrait; l'offrante s'est réservée un droit de substitution dans la perspective de faire acquérir l'immeuble par une société qui appartiendrait à son propre groupe plutôt que par une autre personne ou société; la demanderesse n'a jamais eu aucun contact avec les actionnaires ou organes de B.________ SA, et elle n'a « joué aucun rôle dans [leur] décision »; il n'existait aucun lien juridique « entre la vente du projet [de A.________ SA] et la vente de la parcelle »; en outre, cette société n'a jamais acquis un droit personnel et négociable de raccorder le terrain à la piste de l'aéroport. Dans les constatations déterminantes selon l' art. 105 al. 1 LTF , il n'apparaît pas que Z.________ SA ait déclaré n'accepter la clause de substitution, dans l'offre de A.________ SA, qu'en faveur d'une société appartenant au groupe auquel l'offrante était elle-même intégrée; il est au contraire évident que la banque se préoccupait seulement de parvenir à la réalisation de l'immeuble et que l'identité de l'acquéreur, y compris ses éventuels liens avec l'offrante, lui importait peu. Pour le surplus, le raisonnement de la Cour repose sur des éléments qui ne convainquent pas et il consacre, dans son résultat, une violation de l' art. 413 al. 1 CO .</w:t>
      </w:r>
    </w:p>
    <w:p>
      <w:r>
        <w:rPr>
          <w:b/>
        </w:rPr>
        <w:t>E. 7</w:t>
      </w:r>
    </w:p>
    <w:p>
      <w:r>
        <w:t>Une division de la parcelle n° 1111, ancien état, n'a pas été envisagée lors de la conclusion du contrat de courtage. L'administration de la masse en faillite a plus tard opéré cette division et elle a vendu séparément les deux biens-fonds qui en sont issus. Elle a globalement retiré de ces ventes le prix minimum de 9 millions de francs attendu par Z.________ SA. La succession des démarches, incitations et intercessions qui ont conduit un tiers, éleveur de bétail, à acquérir la parcelle agricole n° 1111 nouvel état n'est pas constatée, de sorte que le lien psychologique entre l'activité de la demanderesse et la décision de ce tiers n'est pas établi. Quoi qu'il en soit, la jurisprudence n'autorise pas le mandant à refuser la rémunération du courtier au motif que, de son propre chef, il a vendu à un prix de peu inférieur à celui qu'il attendait ( ATF 76 II 147 consid. 2 p. 150). La parcelle agricole a été vendue 220'000 fr., ce qui est inférieur à 2,5% du prix global de 9 millions de francs et nettement inférieur, aussi, à la rémunération de 700'000 fr. convenue; en raison de l'importance relativement insignifiante de cette partie de l'opération immobilière, cette rémunération est due à la demanderesse alors même que son activité n'a peut-être pas engendré la totalité du prix minimum attendu par sa cocontractante. L'arrêt de la Cour de justice se révèle erroné sur ce point aussi.</w:t>
      </w:r>
    </w:p>
    <w:p>
      <w:r>
        <w:rPr>
          <w:b/>
        </w:rPr>
        <w:t>E. 8</w:t>
      </w:r>
    </w:p>
    <w:p>
      <w:r>
        <w:t>Parce que le montant de 700'000 fr. a été stipulé toutes taxes et frais compris, la demanderesse n'est pas fondée à le réclamer augmenté de la TVA. Cette rémunération est devenue exigible avec la conclusion des contrats de vente d'immeuble. Z.________ SA s'est trouvée en demeure, aux termes de l' art. 102 al. 1 CO , dès la première interpellation de la demanderesse, c'est-à-dire dès le 11 février 2011. L'intérêt moratoire doit être alloué en application de l' art. 104 al. 1 CO dès le 1er mars suivant, conformément aux conclusions présentées.</w:t>
      </w:r>
    </w:p>
    <w:p>
      <w:r>
        <w:rPr>
          <w:b/>
        </w:rPr>
        <w:t>E. 9</w:t>
      </w:r>
    </w:p>
    <w:p>
      <w:r>
        <w:t>Les deux défenderesses sont solidairement débitrices en vertu de l' art. 75 al. 1 et 2 LFus . Elles succombent sur l'objet essentiel de la contestation; c'est pourquoi elles doivent acquitter l'émolument à percevoir par le Tribunal fédéral. La demanderesse a procédé personnellement. Compte tenu qu'elle exerce la profession d'avocat, la rédaction du recours ne paraît pas avoir nécessité un travail excédant ce que l'on peut raisonnablement attendre de chacun dans la gestion de ses propres affaires; il ne lui est donc pas alloué de dépens (cf. ATF 125 II 518 consid. 5b p.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