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213/2016 vom 20. Juli 2016</w:t>
      </w:r>
    </w:p>
    <w:p>
      <w:r>
        <w:t>Bundesgericht, 2016-07-20, FR</w:t>
      </w:r>
    </w:p>
    <w:p>
      <w:r>
        <w:rPr>
          <w:b/>
        </w:rPr>
        <w:t xml:space="preserve">Quelle: </w:t>
      </w:r>
      <w:r>
        <w:t>https://mcp.opencaselaw.ch/entscheid/bger_4A_213_2016</w:t>
      </w:r>
    </w:p>
    <w:p>
      <w:r>
        <w:t>FR: TF 4A 213/2016 du 20 juillet 2016</w:t>
      </w:r>
    </w:p>
    <w:p>
      <w:r>
        <w:t>IT: TF 4A 213/2016 del 20 luglio 2016</w:t>
      </w:r>
    </w:p>
    <w:p>
      <w:pPr>
        <w:pStyle w:val="Heading2"/>
      </w:pPr>
      <w:r>
        <w:t>Regeste</w:t>
      </w:r>
    </w:p>
    <w:p>
      <w:r>
        <w:t>vente; cession de créance; vices du consentement | Droit des contrats</w:t>
      </w:r>
    </w:p>
    <w:p>
      <w:pPr>
        <w:pStyle w:val="Heading2"/>
      </w:pPr>
      <w:r>
        <w:t>Erwägungen</w:t>
      </w:r>
    </w:p>
    <w:p>
      <w:r>
        <w:rPr>
          <w:b/>
        </w:rPr>
        <w:t>E. 1.1</w:t>
      </w:r>
    </w:p>
    <w:p>
      <w:r>
        <w:t>Le recours est dirigé contre un arrêt final ( art. 90 LTF ) rendu en matière civile ( art. 72 al. 1 LTF ) par un tribunal supérieur d'un canton, qui a statué sur recours ( art. 75 et 114 LTF ). Déposé dans le délai ( art. 46 al. 1 let. a et art. 100 al. 1 LTF ) et la forme ( art. 42 LTF ) prévus par la loi, le recours est exercé par la partie qui a succombé dans ses conclusions libératoires et qui a donc qualité pour recourir ( art. 76 al. 1 et art. 115 LTF ).</w:t>
      </w:r>
    </w:p>
    <w:p>
      <w:r>
        <w:rPr>
          <w:b/>
        </w:rPr>
        <w:t>E. 1.2</w:t>
      </w:r>
    </w:p>
    <w:p>
      <w:r>
        <w:t>Lorsque, comme en l'espèce, la cause n'atteint pas la valeur litigieuse de 30'000 fr. prévue à l' art. 74 al. 1 let. b LTF , le recours en matière civile sera tout de même recevable si la contestation soulève une question juridique de principe ( art. 74 al. 2 let. a LTF ). Le recourant affirme que tel est le cas; la question de principe serait celle de savoir quel poids juridique le juge doit donner à des témoignages qui sont en contradiction avec la lettre du contrat de cession. Faute de toute démonstration spécifique du motif pour lequel une telle question se poserait dans le cas présent, le recours en matière civile se révèle d'emblée irrecevable ( art. 42 al. 2 2 ème phrase LTF; ATF 140 III 501 consid. 1.3 p. 503; 139 III 209 consid. 1.2 p. 210; 135 III 1 consid. 1.3 p. 5; 133 III 439 consid. 2.2.2.1 p. 442). Au demeurant, on ne discerne en l'espèce aucune question juridique de principe (sur cette notion, cf. ATF 141 III 159 consid. 1.2 p. 161; 140 III 391 consid. 1.3 p. 394, 501 consid. 1.3 p. 503; 139 III 209 consid. 1.2 p. 210 et les arrêts cités). Lorsqu'il interprète un contrat, le juge doit rechercher la réelle et commune intention des parties, sans s'arrêter aux expressions ou dénominations inexactes dont elles ont pu se servir ( art. 18 CO ); il est de jurisprudence constante que le juge peut s'écarter d'une interprétation littérale d'un texte contractuel si celui-ci ne reflète pas la réelle intention des parties à l'acte. En l'espèce, l'autorité précédente a simplement constaté en fait quelle était la volonté commune des parties à l'acte de cession; ce faisant, elle a procédé à une appréciation des témoignages et pièces figurant au dossier, opération des plus communes. Il n'y a, dans l'affaire ici en cause, aucune insécurité juridique à lever. Partant, seule la voie du recours constitutionnel subsidiaire est ouverte ( art. 113 LTF ).</w:t>
      </w:r>
    </w:p>
    <w:p>
      <w:r>
        <w:rPr>
          <w:b/>
        </w:rPr>
        <w:t>E. 2.1</w:t>
      </w:r>
    </w:p>
    <w:p>
      <w:r>
        <w:t>Saisi d'un recours constitutionnel subsidiaire, 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soit en particulier de manière arbitraire, ce qui correspond à la notion de "manifestement inexacte" figurant à l' art. 105 al. 2 LTF ( ATF 140 III 115 consid. 2 p. 117; 135 III 397 consid. 1.5). La critique de l'état de fait retenu est soumise au principe strict de l'invocation énoncé par l' art. 106 al. 2 LTF (renvoi de l' art. 117 LTF ; cf. ATF 140 III 264 consid. 2.3 p. 266 et les références). La partie qui entend attaquer les faits constatés par l'autorité précédente doit expliquer clairement et de manière circonstanciée en quoi les conditions de l' art. 118 al. 2 LTF seraient réalisées (cf.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(cf. ATF 140 III 86 consid. 2 p. 90). Si la critique ne satisfait pas à ces exigences, les allégations relatives à un état de fait qui s'écarterait de celui de la décision attaquée ne pourront pas être prises en considération (cf. ATF 140 III 16 consid. 1.3.1 p. 18).</w:t>
      </w:r>
    </w:p>
    <w:p>
      <w:r>
        <w:rPr>
          <w:b/>
        </w:rPr>
        <w:t>E. 2.2</w:t>
      </w:r>
    </w:p>
    <w:p>
      <w:r>
        <w:t>Sous le titre "rappel des faits essentiels" et sans expliquer en quoi les conditions de l' art. 118 al. 2 LTF seraient remplies, le recourant commence par exposer sa version de faits, laquelle diverge fondamentalement de celle retenue par l'autorité précédente. Conformément aux principes énoncés ci-dessus, il n'y a pas à s'y arrêter.</w:t>
      </w:r>
    </w:p>
    <w:p>
      <w:r>
        <w:rPr>
          <w:b/>
        </w:rPr>
        <w:t>E. 3</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L'auteur du recours doit indiquer quel droit constitutionnel aurait été violé et montrer, par une argumentation circonstanciée, en quoi consiste la violation. Ainsi, dans un recours pour arbitraire fondé sur l' art. 9 Cst. , la partie recourante ne peut critiquer la décision attaquée comme elle le ferait dans un recours en matière civile, lors de l'examen duquel l'autorité de recours revoit librement l'application du droit matériel; elle doit au contraire préciser en quoi la décision serait arbitraire (cf. ATF 134 I 263 consid. 3.1 p. 265 s.; 133 II 396 consid. 3.1 p. 399 s. et les arrêts cités). 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rPr>
          <w:b/>
        </w:rPr>
        <w:t>E. 3.1</w:t>
      </w:r>
    </w:p>
    <w:p>
      <w:r>
        <w:t>Invoquant une violation de l' art. 18 CO dans le cadre de l'interprétation de l'acte de cession du 13 mai 2011, le recourant conteste la légitimation active de l'intimé, au motif que celui-ci aurait cédé la créance litigieuse et n'en serait plus le titulaire. L'autorité précédente a constaté en fait que la cession ne concernait pas la créance de l'intimé contre le recourant en paiement du prix de vente, mais uniquement la créance de l'intimé et ses deux associés en remboursement du montant qu'ils pourraient être amenés à payer à D.________ AG à la suite de la reprise des dettes des époux C.________ envers cette entreprise. Le recourant se plaint uniquement d'une violation de l' art. 18 CO ; il n'invoque pas spécifiquement une violation de l'interdiction constitutionnelle de l'arbitraire ( art. 9 Cst. ) et, au demeurant, son mémoire ne contient aucune critique répondant aux exigences en la matière. La constatation de la réelle et commune volonté (subjective) des parties à l'acte de cession au moment de sa conclusion est ainsi acquise. Cela scelle le sort du grief. La créance en paiement du solde du prix de vente n'ayant pas été cédée par l'intimé, celui-ci a la légitimation active pour en demander le paiement.</w:t>
      </w:r>
    </w:p>
    <w:p>
      <w:r>
        <w:rPr>
          <w:b/>
        </w:rPr>
        <w:t>E. 3.2</w:t>
      </w:r>
    </w:p>
    <w:p>
      <w:r>
        <w:t>Le recourant se plaint ensuite d'une application arbitraire des art. 23, 24 et 28 CO , dans la mesure où les aspects administratifs de l'affaire n'ont pas été considérés comme des éléments essentiels du contrat de vente. Après avoir longuement discuté les dépositions des divers témoins entendus en première instance, l'autorité précédente en a déduit que l'acheteur n'avait pas apporté la preuve d'avoir été, au moment de conclure la vente, dans l'erreur au sujet des problèmes liés aux autorisations administratives. Le recourant se contente d'affirmer le contraire, sans réellement discuter la motivation des juges vaudois et, a fortiori, sans démontrer en quoi elle serait insoutenable. Faute de critique recevable, cette constatation de fait est acquise. En conséquence, dès lors que l'erreur du recourant n'est pas établie, c'est non seulement sans arbitraire, mais à bon droit qu'un vice du consentement - que ce soit le dol ou l'erreur essentielle - a été nié.</w:t>
      </w:r>
    </w:p>
    <w:p>
      <w:r>
        <w:rPr>
          <w:b/>
        </w:rPr>
        <w:t>E. 4</w:t>
      </w:r>
    </w:p>
    <w:p>
      <w:r>
        <w:t>Le recours en matière civile est irrecevable et le recours constitutionnel subsidiaire doit être rejeté dans la mesure où il est recevable. Vu le sort réservé aux recours, le recourant prendra à sa charge les frais judiciaires ( art. 66 LTF ). L'intimé n'ayant pas été invité à se déterminer,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