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4A_213/2014 vom 26. Juni 2014</w:t>
      </w:r>
    </w:p>
    <w:p>
      <w:r>
        <w:t>Bundesgericht, 2014-06-26, FR</w:t>
      </w:r>
    </w:p>
    <w:p>
      <w:r>
        <w:rPr>
          <w:b/>
        </w:rPr>
        <w:t xml:space="preserve">Quelle: </w:t>
      </w:r>
      <w:r>
        <w:t>https://mcp.opencaselaw.ch/entscheid/bger_4A_213_2014</w:t>
      </w:r>
    </w:p>
    <w:p>
      <w:r>
        <w:t>FR: TF 4A_213/2014 du 26 juin 2014</w:t>
      </w:r>
    </w:p>
    <w:p>
      <w:r>
        <w:t>IT: TF 4A_213/2014 del 26 giugno 2014</w:t>
      </w:r>
    </w:p>
    <w:p>
      <w:pPr>
        <w:pStyle w:val="Heading2"/>
      </w:pPr>
      <w:r>
        <w:t>Erwägungen</w:t>
      </w:r>
    </w:p>
    <w:p>
      <w:r>
        <w:rPr>
          <w:b/>
        </w:rPr>
        <w:t>E. 1.1</w:t>
      </w:r>
    </w:p>
    <w:p>
      <w:r>
        <w:t>Interjeté par la partie qui a partiellement succombé dans ses conclusions en paiement et a donc qualité pour recourir ( art. 76 al. 1 LTF ), le recours est dirigé contre une décision finale ( art. 90 LTF ) rendue en matière civile ( art. 72 al. 1 LTF ; cf. ATF 138 III 2 consid. 1.1 p. 3; 133 III 439 consid. 2.1 p. 442) par une autorité cantonale de dernière instance statuant sur recours ( art. 75 LTF ). Au surplus, portant sur une affaire pécuniaire dont la valeur litigieuse atteint le seuil de 30'000 fr. ( art. 74 al. 1 let. b LTF ), le recours en matière civile est en principe recevable puisqu'il a été déposé en temps utile ( art. 100 al. 1 LTF ) et dans les formes prévues par la loi ( art. 42 LTF ).</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Pour déterminer les indemnités journalières dues à la recourante, la cour cantonale a appliqué les CGA 2001 et les CSA JOB 1999, lesquelles comprennent une clause de réduction des prestations pour cause de surindemnisation et fixent à 720 jours la durée maximale du versement des indemnités journalières.</w:t>
      </w:r>
    </w:p>
    <w:p>
      <w:r>
        <w:rPr>
          <w:b/>
        </w:rPr>
        <w:t>E. 2.1</w:t>
      </w:r>
    </w:p>
    <w:p>
      <w:r>
        <w:t>Invoquant une violation de l'art. 1</w:t>
      </w:r>
    </w:p>
    <w:p>
      <w:r>
        <w:t>er CO et de l'ancien art. 3 LCA sur la conclusion du contrat d'assurance, la recourante conteste que des conditions d'assurance générales et particulières aient été incorporées au contrat. En l'absence de police établie après acceptation par l'assureur de la proposition du 7 décembre 2001, le contenu du contrat d'assurance résulterait uniquement de ladite proposition. Or, cette dernière, qui porterait sur tous les éléments essentiels du contrat, ne contiendrait aucune référence à des conditions générales précises puisque la rubrique relative à la date d'édition des CGA est vide.</w:t>
      </w:r>
    </w:p>
    <w:p>
      <w:r>
        <w:t>En outre, la recourante n'aurait jamais reçu d'exemplaire de conditions d'assurance; elle précise que la déclaration contraire figurant à la fin de la proposition, rédigée en petits caractères, ne lui est pas opposable. Contrairement à ce que la cour cantonale a admis, les attestations d'assurance postérieures, dont seules certaines font référence aux CGA 1999, ne sauraient pallier à l'absence de mention et de remise des conditions d'assurance au moment de la conclusion du contrat.</w:t>
      </w:r>
    </w:p>
    <w:p>
      <w:r>
        <w:t>S'agissant plus particulièrement des clauses de réduction de l'indemnité journalière pour cause de surindemnisation comprises dans les CGA 1999 et 2001 et les CSA 1999, l'assureur aurait reconnu lui-même qu'elles ne s'appliquaient pas dans le cas de la recourante, puisqu'il n'a pas réagi immédiatement après avoir appris le versement d'une pension par la CPEV, lors de la première période d'indemnisation en 2002. De plus, le montant de l'indemnité journalière de 198 fr. a été fixé en "francs fixes" à la suite d'un calcul de la perte de gain tenant compte des prestations du 1</w:t>
      </w:r>
    </w:p>
    <w:p>
      <w:r>
        <w:t>er et du 2</w:t>
      </w:r>
    </w:p>
    <w:p>
      <w:r>
        <w:t>ème piliers. Pour la recourante, cela signifie que les clauses précitées ne lui sont, au demeurant, pas opposables.</w:t>
      </w:r>
    </w:p>
    <w:p>
      <w:r>
        <w:rPr>
          <w:b/>
        </w:rPr>
        <w:t>E. 2.2</w:t>
      </w:r>
    </w:p>
    <w:p>
      <w:r>
        <w:t>Le contrat d'assurance est un acte juridique consensuel, qui vient à chef lorsque les parties ont, réciproquement et de manière concordante, manifesté leur volonté (art. 1</w:t>
      </w:r>
    </w:p>
    <w:p>
      <w:r>
        <w:t>er CO). En principe, la proposition d'assurance émane du futur preneur d'assurance ( art. 1 al. 1 LCA ) alors que les démarches de l'agent d'assurance, telle que la remise d'un formulaire de proposition, constituent uniquement une invitation à adresser une proposition à l'assureur (arrêt 4C.98/2007 du 29 avril 2008 consid. 2.1.1). La conclusion du contrat dépend de l'acceptation de la proposition par l'assureur. Manifestation de volonté sujette à réception, l'acceptation n'est soumise à aucune forme; elle peut être expresse ou se déduire d'actes concluants, comme la remise de la police ( ATF 122 III 118 consid. 2b p. 122). C'est le lieu de préciser que la remise de la police, rendue obligatoire par l' art. 11 al. 1 LCA , n'est pas une exigence formelle nécessaire à la perfection du contrat; cette obligation relève de l'exécution et la police ne constitue qu'un moyen de preuve de l'existence et du contenu de l'accord ( ATF 112 II 245 consid. II/1c p. 253).</w:t>
      </w:r>
    </w:p>
    <w:p>
      <w:r>
        <w:t>En l'espèce, la recourante a rempli et signé le formulaire de proposition en date du 7 décembre 2001. Il ne ressort pas de l'état de fait figurant dans l'arrêt attaqué qu'elle aurait reçu par la suite une police d'assurance. L'acceptation de la proposition par l'assureur ne fait toutefois aucun doute. La question litigieuse porte ainsi sur le contenu du contrat d'assurance, à déterminer par interprétation.</w:t>
      </w:r>
    </w:p>
    <w:p>
      <w:r>
        <w:rPr>
          <w:b/>
        </w:rPr>
        <w:t>E. 2.3</w:t>
      </w:r>
    </w:p>
    <w:p>
      <w:r>
        <w:t>Interprétant la proposition signée du 7 décembre 2001 selon le principe de la confiance, la cour cantonale a jugé que les parties avaient incorporé au contrat d'assurance les CGA 2001 et les CSA JOB 1999, alors en vigueur.</w:t>
      </w:r>
    </w:p>
    <w:p>
      <w:r>
        <w:rPr>
          <w:b/>
        </w:rPr>
        <w:t>E. 2.3.1</w:t>
      </w:r>
    </w:p>
    <w:p>
      <w:r>
        <w:t>Au préalable, il sied de rappeler que l'interprétation selon le principe de la confiance consiste à rechercher comment les parties, au moment où leur accord s'est formé, pouvaient comprendre de bonne foi les termes utilisés et leurs comportements respectifs, en fonction de l'ensemble des circonstances ( ATF 136 III 186 consid. 3.2.1 p. 188; 135 III 410 consid. 3.2 p. 413, 295 consid. 5.2 p. 302). Les éléments postérieurs à la conclusion du contrat, comme en l'espèce l'attitude de l'assureur lors de la première période d'indemnisation, sont dénués de pertinence à cet égard.</w:t>
      </w:r>
    </w:p>
    <w:p>
      <w:r>
        <w:rPr>
          <w:b/>
        </w:rPr>
        <w:t>E. 2.3.2</w:t>
      </w:r>
    </w:p>
    <w:p>
      <w:r>
        <w:t>Selon la jurisprudence, celui qui signe un texte comportant une référence expresse à des conditions générales est lié au même titre que celui qui appose sa signature sur le texte même de celles-ci, quand bien même il ne les aurait pas lues ( ATF 119 II 443 consid. 1a p. 445; arrêt 5P.96/1996 du 29 mai 1996, in SJ 1996 p. 623). Les conditions générales font alors partie intégrante du contrat ( ATF 133 III 675 consid. 3.3 p. 681). L'ancien art. 3 al. 1 LCA , en vigueur lors de la conclusion du contrat d'assurance en décembre 2001, précise que les conditions générales de l'assurance doivent ou bien être contenues dans le formulaire même de proposition fourni par l'assureur ou bien avoir été remises au proposant avant qu'il ait remis le formulaire contenant sa proposition de contrat. Si cette prescription n'est pas observée, l'auteur de l'offre n'est pas lié par sa proposition (ancien art. 3 al. 2 LCA ).</w:t>
      </w:r>
    </w:p>
    <w:p>
      <w:r>
        <w:t>En l'espèce, la proposition d'assurance du 7 décembre 2001 fait mention de conditions générales d'assurance sous la rubrique "JOB - Assurance d'indemnités journalières pour perte de gain (classes AB/KM) ", mais n'indique pas leur date d'édition. Dans ce document, l'assurée confirme par ailleurs avoir reçu un exemplaire des conditions générales/spéciales d'assurance, dont il est précisé qu'elles font partie intégrante du contrat. A ce propos, il convient de souligner que le contrat d'assurance est un contrat d'adhésion et que, dans le cas présent, l'incorporation des conditions générales et spéciales est expressément rappelée à la fin de la proposition signée par l'assurée. Dans ce contexte, l'absence de mention de la date d'édition des conditions d'assurance ne peut s'interpréter de bonne foi comme la non-incorporation au contrat de telles conditions. Comme la cour cantonale l'a relevé à juste titre, il faut bien plutôt comprendre, à la lumière du principe de la confiance, que référence est faite aux conditions d'assurance en vigueur à l'époque de la conclusion du contrat. Par ailleurs, l'assurée a reconnu, par sa signature au bas de la proposition, avoir reçu un exemplaire des conditions d'assurance applicables. Il lui appartenait dès lors de démontrer que l'exigence posée par l'ancien art. 3 al. 1 LCA n'avait pas été respectée par l'assureur ( OLIVIER CARRÉ, Loi fédérale sur le contrat d'assurance, 2000, p. 122; BERNARD VIRET, Droit des assurances privées, 3</w:t>
      </w:r>
    </w:p>
    <w:p>
      <w:r>
        <w:t>e éd. 1991, p. 78; cf. également GERHARD STOESSEL, in Basler Kommentar, Bundesgesetz über den Versicherungsvertrag, 2001, n° 34 ad art. 3 LCA ). Or, la recourante a seulement allégué n'avoir jamais reçu de conditions d'assurance, mais il ne ressort pas de l'arrêt attaqué qu'elle en aurait rapporté la preuve.</w:t>
      </w:r>
    </w:p>
    <w:p>
      <w:r>
        <w:t>Il s'ensuit que la cour cantonale n'a violé ni l'art. 1</w:t>
      </w:r>
    </w:p>
    <w:p>
      <w:r>
        <w:t>er CO ni l'ancien art. 3 LCA en admettant que les CGA 2001 et les CSA JOB 1999 faisaient partie intégrante du contrat.</w:t>
      </w:r>
    </w:p>
    <w:p>
      <w:r>
        <w:rPr>
          <w:b/>
        </w:rPr>
        <w:t>E. 2.4</w:t>
      </w:r>
    </w:p>
    <w:p>
      <w:r>
        <w:t>L'art. 6 al. 1 CSA JOB 1999 dispose clairement que les prestations sont versées, pour une ou plusieurs maladies, pendant 720 jours au maximum. La recourante ne peut dès lors prétendre au versement d'indemnités journalières au-delà de l'échéance de ce délai, jusqu'à la date de sa mise à la retraite.</w:t>
      </w:r>
    </w:p>
    <w:p>
      <w:r>
        <w:rPr>
          <w:b/>
        </w:rPr>
        <w:t>E. 2.5</w:t>
      </w:r>
    </w:p>
    <w:p>
      <w:r>
        <w:t>En ce qui concerne la réduction du montant de l'indemnité journalière pour cause de surindemnisation, elle est prévue à l'art. 20 al. 2 CGA 2001 et à l'art. 11 CSA JOB 1999.</w:t>
      </w:r>
    </w:p>
    <w:p>
      <w:r>
        <w:rPr>
          <w:b/>
        </w:rPr>
        <w:t>E. 2.5.1</w:t>
      </w:r>
    </w:p>
    <w:p>
      <w:r>
        <w:t>Selon la recourante, le calcul effectué avant la conclusion du contrat pour fixer le montant de l'indemnité journalière à 198 fr., qui tiendrait compte d'éventuelles prestations des 1</w:t>
      </w:r>
    </w:p>
    <w:p>
      <w:r>
        <w:t>er et 2</w:t>
      </w:r>
    </w:p>
    <w:p>
      <w:r>
        <w:t>ème piliers, ainsi que la référence à des "francs fixes" dans la proposition du 7 décembre 2001 démontrent que les parties n'entendaient pas appliquer la clause de réduction dans le cas particulier.</w:t>
      </w:r>
    </w:p>
    <w:p>
      <w:r>
        <w:t>L'existence d'un accord des parties dérogeant sur ce point aux conditions d'assurance ne résulte pas des éléments mis en exergue par la recourante. L'expression "francs fixes" n'apparaît pas déterminante à cet égard; dans la présentation du formulaire de proposition, elle s'oppose bien plutôt à l'autre option proposée pour fixer l'indemnité journalière, soit le pourcentage du salaire. Et, comme la cour cantonale le relève à juste titre, l'éventuelle prise en compte de prestations LPP et AI théoriques au moment de la fixation de l'indemnité journalière tend à évaluer le plus précisément possible la perte de gain que l'assurée pourrait subir, déterminante pour calculer la prime. Ce mode de procéder ne garantit pas le versement, en tout état de cause, de l'indemnité journalière fixée dans le contrat, laquelle se présente comme un montant assuré maximal. Il n'est nullement incompatible avec le fait de déduire, lors de la réalisation du cas d'assurance, les prestations LPP et AI réellement perçues du salaire que l'assurée en bonne santé réalisait, afin de déterminer la perte de gain effectivement subie à couvrir par l'assureur à concurrence, au maximum, du montant de l'indemnité journalière.</w:t>
      </w:r>
    </w:p>
    <w:p>
      <w:r>
        <w:rPr>
          <w:b/>
        </w:rPr>
        <w:t>E. 2.5.2</w:t>
      </w:r>
    </w:p>
    <w:p>
      <w:r>
        <w:t>Au surplus, les dispositions litigieuses des conditions d'assurance sur la surindemnisation ne sauraient être qualifiées de clauses insolites, qui ne seraient pas valables à ce titre (pour une définition de la règle de la clause insolite, cf. ATF 138 III 441 consid. 3.1 p. 412 s. et les arrêts cités). Du reste, la recourante ne le prétend pas. L'art. 20 al. 2 CGA 2001 et l'art. 11 CSA JOB 1999 sont donc opposables à l'assurée, qui ne conteste pas en soi le calcul des indemnités journalières après prise en compte des prestations des assureurs sociaux, tel que confirmé par les juges précédents.</w:t>
      </w:r>
    </w:p>
    <w:p>
      <w:r>
        <w:rPr>
          <w:b/>
        </w:rPr>
        <w:t>E. 3.1</w:t>
      </w:r>
    </w:p>
    <w:p>
      <w:r>
        <w:t>En dernier lieu, la recourante s'en prend à la durée du délai d'attente jusqu'au versement des indemnités journalières. Elle reproche à la cour cantonale d'avoir appliqué le délai de 360 jours indiqué dans la police du 8 novembre 2004 - qu'elle n'aurait jamais reçue -, au lieu du délai de 60 jours prévu dans la proposition du 7 décembre 2001, qui seule lierait les parties.</w:t>
      </w:r>
    </w:p>
    <w:p>
      <w:r>
        <w:rPr>
          <w:b/>
        </w:rPr>
        <w:t>E. 3.2</w:t>
      </w:r>
    </w:p>
    <w:p>
      <w:r>
        <w:t>Comme la conclusion du contrat, la modification de clauses contractuelles n'est soumise à aucune forme (cf. consid. 2.2 supra). En l'occurrence, l'assurée elle-même, par sa lettre du 14 juillet 2004, a proposé à l'assureur de porter le délai d'attente de 60 à 360 jours, moyennant une réduction de la prime. Quand bien même la police d'assurance du 8 novembre 2004 ne serait pas parvenue à la recourante, l'assureur a manifestement accepté cette offre par acte concluant. En effet, les attestations d'assurance postérieures à la lettre précitée du 14 juillet 2004 indiquent toutes deux un délai d'attente de 360 jours et une prime réduite à 71 fr.30, montant que l'assurée a payé pendant plusieurs années. Confinant à la témérité, le moyen soulevé par la recourante doit être écarté.</w:t>
      </w:r>
    </w:p>
    <w:p>
      <w:r>
        <w:rPr>
          <w:b/>
        </w:rPr>
        <w:t>E. 4</w:t>
      </w:r>
    </w:p>
    <w:p>
      <w:r>
        <w:t>Sur le vu de ce qui précède, le recours sera rejeté.</w:t>
      </w:r>
    </w:p>
    <w:p>
      <w:r>
        <w:t>La recourante, qui succombe, prendra à sa charge les frais judiciaires ( art. 66 al. 1 LTF ), mais n'aura pas à verser des dépens à l'intimée,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