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4A_211/2019 vom 29. Mai 2019</w:t>
      </w:r>
    </w:p>
    <w:p>
      <w:r>
        <w:t>Bundesgericht, 2019-05-29, DE</w:t>
      </w:r>
    </w:p>
    <w:p>
      <w:r>
        <w:rPr>
          <w:b/>
        </w:rPr>
        <w:t xml:space="preserve">Quelle: </w:t>
      </w:r>
      <w:r>
        <w:t>https://mcp.opencaselaw.ch/entscheid/bger_4A_211_2019</w:t>
      </w:r>
    </w:p>
    <w:p>
      <w:r>
        <w:t>FR: TF 4A_211/2019 du 29 mai 2019</w:t>
      </w:r>
    </w:p>
    <w:p>
      <w:r>
        <w:t>IT: TF 4A_211/2019 del 29 maggio 2019</w:t>
      </w:r>
    </w:p>
    <w:p>
      <w:pPr>
        <w:pStyle w:val="Heading2"/>
      </w:pPr>
      <w:r>
        <w:t>Erwägungen</w:t>
      </w:r>
    </w:p>
    <w:p>
      <w:r>
        <w:rPr>
          <w:b/>
        </w:rPr>
        <w:t>E. 1</w:t>
      </w:r>
    </w:p>
    <w:p>
      <w:r>
        <w:t>Am 11. April 2017 reichte die Beschwerdegegnerin Klage gegen die Beschwerdeführerin am Handelsgericht des Kantons St. Gallen ein. Sie beantragte, die Beschwerdeführerin sei zu verpflichten, ihr EUR 150'928.75 zuzüglich Zins zu 5 % seit dem 18. November 2016 zu bezahlen.</w:t>
      </w:r>
    </w:p>
    <w:p>
      <w:r>
        <w:t>Mit Urteil vom 2. April 2019 hiess das Handelsgericht die Klage gut und verpflichtete die Beschwerdeführerin, der Beschwerdegegnerin EUR 150'928.75 nebst Zins von 5 % seit dem 18. November 2016 zu bezahlen.</w:t>
      </w:r>
    </w:p>
    <w:p>
      <w:r>
        <w:t>Gegen das Urteil des Handelsgerichts erhob die Beschwerdeführerin mit Eingabe vom 10. Mai 2019 Beschwerde an das Bundesgericht. Es wurden keine Vernehmlassungen zur Beschwerde eingeholt.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beanstandet, die Vorinstanz habe im Zusammenhang mit dem "Themenkomplex X", dem Formular A, dem "Themenkomplex Y" und dem "Themenkomplex Z" das von ihr anerbotene Schreiben nicht abgenommen und beantragte Zeugen nicht einvernommen. Die Vorinstanz habe sie dadurch in "ihren Rechten verletzt und beschnitten" sowie ihr Recht auf ein faires Verfahren "grob verletzt".</w:t>
      </w:r>
    </w:p>
    <w:p>
      <w:r>
        <w:t>Die Beschwerdeführerin erfüllt diesbezüglich die Begründungsanforderungen vor Bundesgericht offensichtlich nicht. Aus dem vorinstanzlichen Sachverhalt ist nicht ersichtlich, dass sie die entsprechenden Beweisanträge gestellt hätte und die Beschwerdeführerin zeigt vor Bundesgericht offensichtlich nicht hinreichend auf, dass sie die Beweisanträge prozesskonform ins vorinstanzliche Verfahren eingebracht hätte (Erwägung 2.2).</w:t>
      </w:r>
    </w:p>
    <w:p>
      <w:r>
        <w:rPr>
          <w:b/>
        </w:rPr>
        <w:t>E. 4</w:t>
      </w:r>
    </w:p>
    <w:p>
      <w:r>
        <w:t>Im Übrigen schildert die Beschwerdeführerin in der Eingabe vom 10. Mai 2019 in frei gehaltenen Ausführungen ihre Sicht der Dinge, wonach es durch unautorisierte Belastungen und Transaktionen zu einem Schaden gekommen sei. Sie genügt aber auch damit den Begründungsanforderungen vor Bundesgericht offensichtlich nicht, denn sie geht nicht hinreichend konkret auf die ausführlichen Erwägungen der Vorinstanz ein, geschweige denn zeigt sie rechtsgenüglich auf, inwiefern die Vorinstanz ihre Rechte verletzt haben soll. Auf die Beschwerde ist somit mangels hinreichender Begründung nicht einzutreten ( Art. 108 Abs. 1 lit. b BGG ).</w:t>
      </w:r>
    </w:p>
    <w:p>
      <w:r>
        <w:rPr>
          <w:b/>
        </w:rPr>
        <w:t>E. 5</w:t>
      </w:r>
    </w:p>
    <w:p>
      <w:r>
        <w:t>Die Gerichtskosten sind der Beschwerdeführerin aufzuerlegen ( Art. 66 Abs. 1 BGG ). Die Beschwerdegegnerin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