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4A_211/2018 vom 17. Mai 2018</w:t>
      </w:r>
    </w:p>
    <w:p>
      <w:r>
        <w:t>Bundesgericht, 2018-05-17, DE</w:t>
      </w:r>
    </w:p>
    <w:p>
      <w:r>
        <w:rPr>
          <w:b/>
        </w:rPr>
        <w:t xml:space="preserve">Quelle: </w:t>
      </w:r>
      <w:r>
        <w:t>https://mcp.opencaselaw.ch/entscheid/bger_4A_211_2018</w:t>
      </w:r>
    </w:p>
    <w:p>
      <w:r>
        <w:t>FR: TF 4A_211/2018 du 17 mai 2018</w:t>
      </w:r>
    </w:p>
    <w:p>
      <w:r>
        <w:t>IT: TF 4A_211/2018 del 17 maggio 2018</w:t>
      </w:r>
    </w:p>
    <w:p>
      <w:pPr>
        <w:pStyle w:val="Heading2"/>
      </w:pPr>
      <w:r>
        <w:t>Volltext</w:t>
      </w:r>
    </w:p>
    <w:p>
      <w:r>
        <w:t>Bundesgericht</w:t>
      </w:r>
    </w:p>
    <w:p>
      <w:r>
        <w:t>Tribunal fédéral</w:t>
      </w:r>
    </w:p>
    <w:p>
      <w:r>
        <w:t>Tribunale federale</w:t>
      </w:r>
    </w:p>
    <w:p>
      <w:r>
        <w:t>Tribunal federal</w:t>
      </w:r>
    </w:p>
    <w:p>
      <w:r>
        <w:t>4A_211/2018</w:t>
      </w:r>
    </w:p>
    <w:p>
      <w:r>
        <w:t>Urteil vom 17. Mai 2018</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Amt für Handelsregister &amp; Notariate des Kantons St. Gallen,</w:t>
      </w:r>
    </w:p>
    <w:p>
      <w:r>
        <w:t>Beschwerdegegner.</w:t>
      </w:r>
    </w:p>
    <w:p>
      <w:r>
        <w:t>Gegenstand</w:t>
      </w:r>
    </w:p>
    <w:p>
      <w:r>
        <w:t>Gesellschaftsrecht, Organisationsmangel,</w:t>
      </w:r>
    </w:p>
    <w:p>
      <w:r>
        <w:t>Beschwerde gegen den Entscheid</w:t>
      </w:r>
    </w:p>
    <w:p>
      <w:r>
        <w:t>des Handelsgerichtspräsidenten des Kantons St. Gallen</w:t>
      </w:r>
    </w:p>
    <w:p>
      <w:r>
        <w:t>vom 13. November 2017 (HG.2017.182-HGP).</w:t>
      </w:r>
    </w:p>
    <w:p>
      <w:r>
        <w:t>In Erwägung,</w:t>
      </w:r>
    </w:p>
    <w:p>
      <w:r>
        <w:t>dass die Beschwerdeführerin gegen den Entscheid des Handelsgerichtspräsidenten des Kantons St. Gallen vom 13. November 2017 mit Eingabe vom 4. April 2018 (Postaufgabe 9. April 2018) beim Bundesgericht Beschwerde erhob;</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B.________ in der Eingabe vom 4. April 2018 behauptet, der angefochtene Entscheid sei ihm als Geschäftsführer und Anteilseigentümer nicht zugestellt worden;</w:t>
      </w:r>
    </w:p>
    <w:p>
      <w:r>
        <w:t>dass sich aus den Akten indessen ergibt, dass der angefochtene Entscheid der Beschwerdeführerin am 21. November 2017 am Postschalter in U.________ zugestellt wurde und dass es auf die Zustellung an die Beschwerdeführerin ankommt;</w:t>
      </w:r>
    </w:p>
    <w:p>
      <w:r>
        <w:t>dass die Beschwerdefrist demnach - unter Berücksichtigung des Fristenstillstandes vom 18. Dezember 2017 bis zum 2. Januar 2018 ( Art. 46 Abs. 1 lit. c BGG ) und der Bestimmung von Art. 45 Abs. 1 BGG - am 8. Januar 2018 ablief;</w:t>
      </w:r>
    </w:p>
    <w:p>
      <w:r>
        <w:t>dass die vorliegende, vom 4. April 2018datierte Beschwerdeschrift der Schweizerischen Post am 9. April 2018 übergeben wurde und damit die Beschwerdefrist offensichtlich nicht eingehalten ist;</w:t>
      </w:r>
    </w:p>
    <w:p>
      <w:r>
        <w:t>dass demnach auf die Beschwerde nichteinzutreten ist ( Art. 108 Abs. 1 lit. a BGG );</w:t>
      </w:r>
    </w:p>
    <w:p>
      <w:r>
        <w:t>dass die Gerichtskosten der Beschwerdeführerin aufzuerlegen sind ( Art. 66 Abs. 1 BGG );</w:t>
      </w:r>
    </w:p>
    <w:p>
      <w:r>
        <w:t>dass dem Beschwerdegegner keine Parteientschädigung zuzusprechen ist ( Art. 68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Handelsgerichtspräsidenten des Kantons St. Gallen schriftlich mitgeteilt.</w:t>
      </w:r>
    </w:p>
    <w:p>
      <w:r>
        <w:t>Lausanne, 17. Mai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