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211/2013 vom 3. Juni 2013</w:t>
      </w:r>
    </w:p>
    <w:p>
      <w:r>
        <w:t>Bundesgericht, 2013-06-03, DE</w:t>
      </w:r>
    </w:p>
    <w:p>
      <w:r>
        <w:rPr>
          <w:b/>
        </w:rPr>
        <w:t xml:space="preserve">Quelle: </w:t>
      </w:r>
      <w:r>
        <w:t>https://mcp.opencaselaw.ch/entscheid/bger_4A_211_2013</w:t>
      </w:r>
    </w:p>
    <w:p>
      <w:r>
        <w:t>FR: TF 4A 211/2013 du 3 juin 2013</w:t>
      </w:r>
    </w:p>
    <w:p>
      <w:r>
        <w:t>IT: TF 4A 211/2013 del 3 giugno 2013</w:t>
      </w:r>
    </w:p>
    <w:p>
      <w:pPr>
        <w:pStyle w:val="Heading2"/>
      </w:pPr>
      <w:r>
        <w:t>Regeste</w:t>
      </w:r>
    </w:p>
    <w:p>
      <w:r>
        <w:t>Rückforderung von Vorsorgegeldern; Anscheinsvollmacht | Vertragsrecht</w:t>
      </w:r>
    </w:p>
    <w:p>
      <w:pPr>
        <w:pStyle w:val="Heading2"/>
      </w:pPr>
      <w:r>
        <w:t>Erwägungen</w:t>
      </w:r>
    </w:p>
    <w:p>
      <w:r>
        <w:rPr>
          <w:b/>
        </w:rPr>
        <w:t>E. 1.1</w:t>
      </w:r>
    </w:p>
    <w:p>
      <w:r>
        <w:t>Mit dem Entscheid in der Sache wird das Gesuch der Beschwerdeführerin um Erteilung der aufschiebenden Wirkung gegenstandslos.</w:t>
      </w:r>
    </w:p>
    <w:p>
      <w:r>
        <w:rPr>
          <w:b/>
        </w:rPr>
        <w:t>E. 1.2</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138 IV 13 E. 5.1 S. 22 ; 137 I 1 E. 2.4 S. 5 ; 136 I 316 E. 2.2.2. S. 318 f.; je mit Hinweisen).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4A_627/2012 vom 9. April 2013 E. 3.2;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1.5</w:t>
      </w:r>
    </w:p>
    <w:p>
      <w:r>
        <w:t>Die Beschwerde lässt über weite Strecken keine Auseinandersetzung mit den konkreten Erwägungen im angefochtenen Entscheid erkennen; vielmehr unterbreitet die Beschwerdeführerin dem Bundesgericht losgelöst vom Urteil der Vorinstanz ihren Standpunkt, wonach die Klage abzuweisen sei, als ob das Bundesgericht die Klage von Grund auf neu beurteilen könnte. Damit verfehlt sie die erwähnten Begründungsanforderungen an eine hinreichende Beschwerde. Teilweise weicht die Beschwerdeführerin von den Sachverhaltsfeststellungen im angefochtenen Entscheid ab oder erweitert diese, ohne eine hinreichende Sachverhaltsrüge zu erheben. Die entsprechenden Ausführungen in der Beschwerde haben daher unbeachtet zu bleiben und es ist - vorbehaltlich der nachfolgend zu beurteilenden Willkürrüge -einzig auf die Sachverhaltsfeststellungen im angefochtenen Entscheid abzustellen.</w:t>
      </w:r>
    </w:p>
    <w:p>
      <w:r>
        <w:rPr>
          <w:b/>
        </w:rPr>
        <w:t>E. 2</w:t>
      </w:r>
    </w:p>
    <w:p>
      <w:r>
        <w:t>Die Beschwerdeführerin wirft der Vorinstanz zunächst eine willkürliche Sachverhaltsfeststellung vor.</w:t>
      </w:r>
    </w:p>
    <w:p>
      <w:r>
        <w:rPr>
          <w:b/>
        </w:rPr>
        <w:t>E. 2.1</w:t>
      </w:r>
    </w:p>
    <w:p>
      <w:r>
        <w:t>Sie bringt vor, die Vorinstanz sei zu Unrecht davon ausgegangen, es handle sich bei der Beschwerdegegnerin um eine "einfache Arbeiterin". Sie schliesse implizit aus ihrer Herkunft, ihrer beruflichen Tätigkeit und im Sinne eines Umkehrschlusses aus dem Leistungsangebot der Beschwerdeführerin auf einen besonders bescheidenen Grad an Geschäftskunde der Beschwerdegegnerin, ohne dass konkrete, über ihre allgemeine berufliche und geschäftliche Stellung hinausgehende Erkenntnisse vorliegen würden. Die dem angefochtenen Urteil zugrunde liegende Annahme einer sehr bescheidenen und unterdurchschnittlichen Geschäftsgewandtheit der Beschwerdegegnerin sei daher als willkürlich zu qualifizieren; vielmehr sei von einer durchschnittlichen Geschäftsgewandtheit auszugehen.</w:t>
      </w:r>
    </w:p>
    <w:p>
      <w:r>
        <w:rPr>
          <w:b/>
        </w:rPr>
        <w:t>E. 2.2</w:t>
      </w:r>
    </w:p>
    <w:p>
      <w:r>
        <w:t>Die Vorinstanz erwog, es sei an die Möglichkeit der Beschwerdegegnerin, einer Unkorrektheit oder gar einem Betrug auf die Spur zu kommen, zu Lasten der Beschwerdeführerin kein strenger Massstab anzulegen. Sie berücksichtigte dabei unter anderem den ihr aus weiteren hängigen Fällen bekannten Umstand, dass die Kundschaft der Beschwerdeführerin weitgehend aus administrativ und geschäftlich unerfahrenen Personen besteht. Im Weiteren stellte sie darauf ab - worauf die Beschwerde nicht eingeht -, dass die Beschwerdeführerin selber keine Kenntnisse administrativer Art, geschweige denn im Finanz- bzw. Versicherungsbereich, behauptet habe, die es der Beschwerdegegnerin ermöglicht hätten, die Machenschaften von B.________ zu durchschauen, womit die klägerischen Vorbringen im Ergebnis als unbestritten betrachtet wurden. Die Behauptung der Beschwerdeführerin, die Vorinstanz habe ihre Annahme ausschliesslich aus der Herkunft und der beruflichen Tätigkeit der Beschwerdegegnerin sowie dem Leistungsangebot der Beschwerdeführerin abgeleitet, trifft insoweit nicht zu. Abgesehen davon zeigt sie mit ihrem blossen Hinweis, die Vorinstanz habe selbst festgehalten, dass die Beschwerdegegnerin von sich aus "mit Bestimmtheit" die Ausrichtung einer Rente statt eines Alterskapitals gewünscht habe, weshalb ihr die "grundsätzliche Problematik durchaus bewusst gewesen" sei, keine Willkür ( Art. 9 BV ) hinsichtlich der tatsächlichen Annahmen im angefochtenen Entscheid zur Geschäftsgewandtheit der Beschwerdegegnerin auf. Im Übrigen zeigt die Beschwerdeführerin im Beschwerdeverfahren vor Bundesgericht nicht mit Aktenhinweisen auf, dass sie bereits im vorinstanzlichen Verfahrenentsprechende Behauptungen hinsichtlich der Geschäftsgewandtheit der Beschwerdegegnerin aufgestellt hätte. Sie vermag die entsprechenden Annahmen der Vorinstanz mit ihren Ausführungen insgesamt nicht als willkürlich auszuweisen.</w:t>
      </w:r>
    </w:p>
    <w:p>
      <w:r>
        <w:rPr>
          <w:b/>
        </w:rPr>
        <w:t>E. 3</w:t>
      </w:r>
    </w:p>
    <w:p>
      <w:r>
        <w:t>Die Beschwerdeführerin rügt weiter, der angefochtene Entscheid gehe zu Unrecht von der Annahme aus, dass sie den Anschein erweckt habe, auch die Entgegennahme und Verwaltung von Geldern anzubieten.</w:t>
      </w:r>
    </w:p>
    <w:p>
      <w:r>
        <w:rPr>
          <w:b/>
        </w:rPr>
        <w:t>E. 3.1</w:t>
      </w:r>
    </w:p>
    <w:p>
      <w:r>
        <w:t>Sie setzt sich dabei nicht mit den Erwägungen des angefochtenen Entscheids der Vorinstanz auseinander, sondern trägt dem Bundesgericht losgelöst davon ihren Standpunkt hinsichtlich ihrer Verantwortlichkeit vor, ohne jedoch eine konkrete Bundesrechtsverletzung aufzuzeigen. Eine willkürliche Sachverhaltsermittlung, wie sie die Beschwerdeführerin behauptet, ist nicht dargetan: Sie zeigt in ihren Ausführungen nicht auf, welche tatsächlichen Feststellungen der Vorinstanz offensichtlich unrichtig sein sollen, sondern unterbreitet dem Bundesgericht ohne Bezug zu den Erwägungen im angefochtenen Entscheid ihre Sicht der Dinge und bestreitet gestützt darauf eine Bindungswirkung des Handelns von B.________. Damit verfehlt sie die gesetzlichen Begründungsanforderungen.</w:t>
      </w:r>
    </w:p>
    <w:p>
      <w:r>
        <w:rPr>
          <w:b/>
        </w:rPr>
        <w:t>E. 3.2</w:t>
      </w:r>
    </w:p>
    <w:p>
      <w:r>
        <w:t>Die Beschwerdeführerin bestätigt in ihrer Beschwerdeeingabe im Übrigen selbst, dass auch im zu beurteilenden Fall ihre Vollmacht verwendet wurde, die ausdrücklich die allgemeine Ermächtigung der Beschwerdeführerin zum Empfang von Geldern aufführte. Angesichts dieser unstreitig von der Beschwerdeführerin ausgehenden Erklärung hat die Vorinstanz ihren Einwand, die Verwahrung von Geld gehöre nicht zu ihrem Tätigkeitsbereich und eine solche Leistung ihrerseits habe von der Beschwerdegegnerin nicht erwartet werden dürfen, ohne Verletzung von Bundesrecht als nicht stichhaltig erachtet. Die geschäftlich unerfahrene Beschwerdegegnerin durfte aufgrund dieser Umstände - entgegen der in der Beschwerde vertretenen Ansicht - nach Treu und Glauben ( Art. 2 Abs. 1 ZGB ) davon ausgehen, dass ihr die Beschwerdeführerin, zu deren unbestrittenem Tätigkeitsbereich die Vertretung gegenüber Arbeitgebern und Sozialversicherungen gehört, auch Dienstleistungen im Zusammenhang mit der Verwahrung oder Verwaltung von Pensionskassenguthaben anbot und der als Geschäftsführer handelnde B.________ entsprechend vertretungsbefugt war. Inwiefern die Vorinstanz die massgebenden Grundsätze der Auslegung nach dem Vertrauensprinzip missachtet und damit Bundesrecht verletzt hätte, ist nicht ersichtlich.</w:t>
      </w:r>
    </w:p>
    <w:p>
      <w:r>
        <w:rPr>
          <w:b/>
        </w:rPr>
        <w:t>E. 4</w:t>
      </w:r>
    </w:p>
    <w:p>
      <w:r>
        <w:t>Die Beschwerde erweist sich als unbegründet und ist abzuweisen, soweit darauf eingetreten werden kann. Dem Ausgang des Verfahrens entsprechend wird die Beschwerdeführerin kostenpflichtig ( Art. 66 Abs. 1 BGG ). Die Beschwerdegegnerin hat keinen Anspruch auf eine Parteientschädigung, da ihr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