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210/2023 vom 8. November 2023</w:t>
      </w:r>
    </w:p>
    <w:p>
      <w:r>
        <w:t>Bundesgericht, 2023-11-08, DE</w:t>
      </w:r>
    </w:p>
    <w:p>
      <w:r>
        <w:rPr>
          <w:b/>
        </w:rPr>
        <w:t xml:space="preserve">Quelle: </w:t>
      </w:r>
      <w:r>
        <w:t>https://mcp.opencaselaw.ch/entscheid/bger_4A_210_2023</w:t>
      </w:r>
    </w:p>
    <w:p>
      <w:r>
        <w:t>FR: TF 4A 210/2023 du 8 novembre 2023</w:t>
      </w:r>
    </w:p>
    <w:p>
      <w:r>
        <w:t>IT: TF 4A 210/2023 del 8 novembre 2023</w:t>
      </w:r>
    </w:p>
    <w:p>
      <w:pPr>
        <w:pStyle w:val="Heading2"/>
      </w:pPr>
      <w:r>
        <w:t>Regeste</w:t>
      </w:r>
    </w:p>
    <w:p>
      <w:r>
        <w:t>Forderung (Versicherungsvertragsrecht), | Vertragsrecht</w:t>
      </w:r>
    </w:p>
    <w:p>
      <w:pPr>
        <w:pStyle w:val="Heading2"/>
      </w:pPr>
      <w:r>
        <w:t>Erwägungen</w:t>
      </w:r>
    </w:p>
    <w:p>
      <w:r>
        <w:rPr>
          <w:b/>
        </w:rPr>
        <w:t>E. 1.1</w:t>
      </w:r>
    </w:p>
    <w:p>
      <w:r>
        <w:t>Das angefochtene Urteil ist ein Endentscheid ( Art. 90 BGG ) einer Vorinstanz im Sinne von Art. 75 BGG . Der Streitwert erreicht die Grenze von Fr. 30'000.-- gemäss Art. 74 Abs. 1 lit. b BGG nicht. Dies anerkennt der Beschwerdeführer. Er macht jedoch geltend, es stelle sich eine Rechtsfrage von grundsätzlicher Bedeutung im Sinne von Art. 74 Abs. 2 lit. a BGG . 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144 III 164 E. 1; 141 III 159 E. 1.2). 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135 III 1 E. 1.3 mit weiteren Hinweisen). Wenn geltend gemacht wird, dass die unteren Instanzen viele gleichartige Fälle beurteilen werden, muss die zu beurteilende Streitsache überdies geeignet sein, die Frage auch mit Bezug auf die anderen Fälle zu klären ( BGE 139 II 340 E. 4). Das Bundesgericht berücksichtigt für die Beurteilung der Rechtsfrage von grundsätzlicher Bedeutung, ob die Wahrscheinlichkeit, dass die Frage dem Bundesgericht je unterbreitet werden kann, infolge der Streitwertgrenze äusserst gering ist ( BGE 134 III 115 E. 1.2, 267 E. 1.2.3; Urteil 4A_179/2020 vom 26. Mai 2020 E. 1.6.2). Dies allein genügt als Begründung für das Vorliegen einer Rechtsfrage von grundsätzlicher Bedeutung nicht. Auch in den Fällen, in denen aufgrund der Streitwertgrenze die Wahrscheinlichkeit äussert gering ist, dass die Rechtsfrage dem Bundesgericht je unterbreitet werden kann, ist darzulegen, dass sich eine Rechtsfrage von grundsätzlicher Bedeutung stellt. Die beschwerdeführende Partei hat auszuführen, warum diese Voraussetzung erfüllt ist ( Art. 42 Abs. 2 Satz 2 BGG ).</w:t>
      </w:r>
    </w:p>
    <w:p>
      <w:r>
        <w:rPr>
          <w:b/>
        </w:rPr>
        <w:t>E. 1.2</w:t>
      </w:r>
    </w:p>
    <w:p>
      <w:r>
        <w:t>Der Beschwerdeführer erblickt die Rechtsfrage von grundsätzlicher Bedeutung darin, dass höchstrichterlich ungeklärt sei, ob Fälle denkbar seien, in denen auch Vollkaskoversicherte den Beschwerdegegner direkt in Anspruch nehmen könnten. Dieser selbst schliesse solches nicht aus. Gerade bei Leasing-Fahrzeugen und kleineren Schadenssummen in Höhe des üblichen Selbstbehalts werde die Streitwertgrenze gemäss Art. 74 Abs. 1 lit. b BGG grundsätzlich nicht erreicht. Dem Beschwerdeführer kann nicht gefolgt werden. Entgegen seiner Auffassung kann sich die grundsätzliche Frage, ob eine Haftung des Beschwerdegegners auch gegenüber vollkaskoversicherten Motorfahrzeugführern in Betracht fallen kann, ohne Weiteres auch in Fällen stellen, bei denen der Streitwert von Fr. 30'000.-- erreicht wird. Hingegen ist nicht ersichtlich, weshalb in diesem Zusammenhang ebenso die Frage geklärt werden müsste, ob eine Haftung des Beschwerdegegners auch bei "Kleinstschäden" von Vollkaskoversicherten bestehen kann. Der Beschwerdeführer legt nicht dar, dass daran ein gesondertes, allgemeines und dringendes Interesse bestünde. Er zeigt nicht auf, dass sich eine Rechtsfrage von grundsätzlicher Bedeutung im Sinne von Art. 74 Abs. 2 lit. a BGG stellt. Demnach steht die Beschwerde in Zivilsachen nicht offen.</w:t>
      </w:r>
    </w:p>
    <w:p>
      <w:r>
        <w:rPr>
          <w:b/>
        </w:rPr>
        <w:t>E. 1.3</w:t>
      </w:r>
    </w:p>
    <w:p>
      <w:r>
        <w:t>Der Beschwerdeführer rügt eine Verletzung seiner verfassungsmässigen Rechte, namentlich des Willkürverbots ( Art. 116 BGG ; Art. 9 BV ). Dies aber bloss in allgemeiner Weise in Bezug auf die Gesetzesauslegung. Er zeigt nicht auf, weshalb das ihn konkret betreffende angefochtene Urteil im Ergebnis willkürlich sein soll. Daher ist auch auf die Beschwerde als subsidiäre Verfassungsbeschwerde ( Art. 113 ff. BGG ) nicht einzutreten.</w:t>
      </w:r>
    </w:p>
    <w:p>
      <w:r>
        <w:rPr>
          <w:b/>
        </w:rPr>
        <w:t>E. 2</w:t>
      </w:r>
    </w:p>
    <w:p>
      <w:r>
        <w:t>Bei diesem Ausgang des Verfahrens wird der Beschwerdeführer kostenpflichtig ( Art. 66 Abs. 1 BGG ). Er hat den Beschwerdegegner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