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4A_210/2022 vom 14. Juni 2022</w:t>
      </w:r>
    </w:p>
    <w:p>
      <w:r>
        <w:t>Bundesgericht, 2022-06-14, DE</w:t>
      </w:r>
    </w:p>
    <w:p>
      <w:r>
        <w:rPr>
          <w:b/>
        </w:rPr>
        <w:t xml:space="preserve">Quelle: </w:t>
      </w:r>
      <w:r>
        <w:t>https://mcp.opencaselaw.ch/entscheid/bger_4A_210_2022</w:t>
      </w:r>
    </w:p>
    <w:p>
      <w:r>
        <w:t>FR: TF 4A_210/2022 du 14 juin 2022</w:t>
      </w:r>
    </w:p>
    <w:p>
      <w:r>
        <w:t>IT: TF 4A_210/2022 del 14 giugno 2022</w:t>
      </w:r>
    </w:p>
    <w:p>
      <w:pPr>
        <w:pStyle w:val="Heading2"/>
      </w:pPr>
      <w:r>
        <w:t>Erwägungen</w:t>
      </w:r>
    </w:p>
    <w:p>
      <w:r>
        <w:rPr>
          <w:b/>
        </w:rPr>
        <w:t>E. 1</w:t>
      </w:r>
    </w:p>
    <w:p>
      <w:r>
        <w:t>Mit Eingabe vom 18. Oktober 2021 reichte die Beschwerdeführerin beim Handelsgericht des Kantons Bern Klage gegen die Beschwerdegegnerin ein und ersuchte um Gewährung der unentgeltlichen Rechtspflege. Die Beschwerdegegnerin beantragte ihrerseits, die Beschwerdeführerin sei zur Leistung einer Sicherheit für die Parteientschädigung zu verpflichten.</w:t>
      </w:r>
    </w:p>
    <w:p>
      <w:r>
        <w:t>Mit Entscheid vom 26. April 2022 wies das Handelsgericht das Gesuch um unentgeltliche Rechtspflege ab und setzte der Beschwerdeführerin Frist zur Leistung eines Kostenvorschusses sowie einer Sicherheit für die Parteientschädigung an. Es sei anzunehmen, dass die von der Beschwerdeführerin geltend gemachten Ansprüche entweder bereits abgeurteilt oder unbegründet seien, weshalb das Handelsgericht aller Voraussicht nach nicht auf die Klage eintreten bzw. diese abweisen werde. Das von der Beschwerdeführerin geltend gemachte Rechtsbegehren sei daher als aussichtslos zu betrachten. Ausserdem habe die Beschwerdegegnerin glaubhaft gemacht, dass die Beschwerdeführerin zahlungsunfähig sei, weshalb auch die Voraussetzungen für die Sicherstellung der mutmasslichen Parteientschädigung erfüllt seien.</w:t>
      </w:r>
    </w:p>
    <w:p>
      <w:r>
        <w:t>Mit Eingabe vom 16. Mai 2022 erklärte die Beschwerdeführerin dem Bundesgericht, das Urteil des Handelsgerichts des Kantons Bern vom 26. April 2022 mit Beschwerde anfechten zu wollen und ersuchte gleichzeitig um unentgeltliche Prozessführung.</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16. Mai 2022 nicht hinreichend mit den Erwägungen des angefochtenen Entscheids des Handelsgerichts des Kantons Bern vom 26. April 2022 auseinander und zeigt nicht rechtsgenügend auf, inwiefern die Vorinstanz mit ihrem Entscheid Bundesrecht verletzt hätte. Stattdessen unterbreitet sie dem Bundesgericht unter Hinweis auf zahlreiche Beilagen in unzulässiger Weise ihre Sicht der Dinge. Die Eingabe vom 16. Mai 2022 erfüllt damit die erwähnten Begründungsanforderungen offensichtlich nicht.</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