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4A_20/2021 vom 12. Oktober 2021</w:t>
      </w:r>
    </w:p>
    <w:p>
      <w:r>
        <w:t>Bundesgericht, 2021-10-12, FR</w:t>
      </w:r>
    </w:p>
    <w:p>
      <w:r>
        <w:rPr>
          <w:b/>
        </w:rPr>
        <w:t xml:space="preserve">Quelle: </w:t>
      </w:r>
      <w:r>
        <w:t>https://mcp.opencaselaw.ch/entscheid/bger_4A_20_2021</w:t>
      </w:r>
    </w:p>
    <w:p>
      <w:r>
        <w:t>FR: TF 4A_20/2021 du 12 octobre 2021</w:t>
      </w:r>
    </w:p>
    <w:p>
      <w:r>
        <w:t>IT: TF 4A_20/2021 del 12 ottobre 2021</w:t>
      </w:r>
    </w:p>
    <w:p>
      <w:pPr>
        <w:pStyle w:val="Heading2"/>
      </w:pPr>
      <w:r>
        <w:t>Erwägungen</w:t>
      </w:r>
    </w:p>
    <w:p>
      <w:r>
        <w:rPr>
          <w:b/>
        </w:rPr>
        <w:t>E. 1</w:t>
      </w:r>
    </w:p>
    <w:p>
      <w:r>
        <w:t>La décision sur la capacité de postuler de l'avocat doit être entreprise par la voie de recours ouverte dans la matière en cause, soit en l'occurrence celle du recours en matière civile (arrêt 5A_485/2020 du 25 mars 2021 consid. 1.2 et les arrêts cités).</w:t>
      </w:r>
    </w:p>
    <w:p>
      <w:r>
        <w:t>Lorsque la décision entreprise interdit à l'avocat mandaté par la partie demanderesse de procéder en justice en raison d'un conflit d'intérêts, elle cause un préjudice irréparable tant à la demanderesse qu'à l'homme de loi. Mandant et mandataire peuvent recourir immédiatement au Tribunal fédéral ( art. 93 al. 1 let. a LTF ; arrêts 4A_313/2020 du 1er octobre 2020 consid. 3; 4D_58/2014 du 17 octobre 2014 consid. 1.3).</w:t>
      </w:r>
    </w:p>
    <w:p>
      <w:r>
        <w:rPr>
          <w:b/>
        </w:rPr>
        <w:t>E. 2.1</w:t>
      </w:r>
    </w:p>
    <w:p>
      <w:r>
        <w:t>La partie recourante doit justifier d'un intérêt digne de protection à l'annulation ou à la modification de la décision entreprise ( art. 76 al. 1 let. b LTF ). Le législateur vise par là l'utilité pratique que l'admission du recours apporterait à son auteur en lui évitant de subir un préjudice économique, idéal, matériel ou autre occasionné par la décision attaquée (cf. ATF 137 II 40 consid. 2.3). L'intérêt doit exister non seulement lors du dépôt du recours, mais aussi au moment où l'arrêt est rendu (arrêts 4A_478/2020 du 29 décembre 2020 consid. 3.1; 5A_693/2020 du 25 février 2021 consid. 2.1).</w:t>
      </w:r>
    </w:p>
    <w:p>
      <w:r>
        <w:t>Le recourant doit alléguer les faits qui, de son point de vue, fondent sa qualité pour recourir au Tribunal fédéral selon l' art. 76 LTF lorsqu'ils ne ressortent pas à l'évidence de la décision attaquée ou du dossier de la cause (arrêt précité 5A_693/2020</w:t>
      </w:r>
    </w:p>
    <w:p>
      <w:r>
        <w:t>ibidem ; cf. ATF 133 II 353 consid. 1).</w:t>
      </w:r>
    </w:p>
    <w:p>
      <w:r>
        <w:t>Le Tribunal fédéral déclare le recours irrecevable lorsque l'intérêt digne de protection fait défaut lors du dépôt du recours. S'il disparaît en cours de procédure, la cause est radiée du rôle parce qu'étant privée d'objet (cf. ATF 142 I 135 consid. 1.3.1 p. 143; arrêt 2C_346/2019 du 20 décembre 2019 consid. 1.1).</w:t>
      </w:r>
    </w:p>
    <w:p>
      <w:r>
        <w:rPr>
          <w:b/>
        </w:rPr>
        <w:t>E. 2.2</w:t>
      </w:r>
    </w:p>
    <w:p>
      <w:r>
        <w:t>Il n'y a plus d'intérêt à contester l'interdiction de postuler lorsque la décision finale est rendue; en ce cas, le procès s'est poursuivi sans le mandataire éconduit, et la partie demanderesse a été privée du droit d'être assistée par la personne de son choix, ce qui constitue un préjudice irréparable - tout comme celui porté à l'avocat frappé de l'interdiction, et par là même empêché d'exercer son métier (cf. arrêt précité 4D_58/2014 consid. 1.3).</w:t>
      </w:r>
    </w:p>
    <w:p>
      <w:r>
        <w:t>En l'occurrence, la décision finale n'est certes pas encore intervenue. La demanderesse et son avocat ont toutefois exposé dans leur recours commun qu'ils n'entendaient pas discuter le "refus de la Chambre civile d'octroyer l'effet suspensif" à leur recours cantonal et qu'ils renonçaient au surplus à solliciter l'effet suspensif pour leur recours en matière civile. La demanderesse a ajouté qu'elle avait mandaté une nouvelle avocate "pour la représenter au fond, ceci afin que la procédure (...) puisse continuer indépendamment de l'incident portant sur la capacité de postuler de Me B.________" (recours, p. 5 ch. II/6). Cette "option procédurale" n'a pas manqué de surprendre la partie adverse, même si elle s'en est remise à justice quant à la recevabilité du recours (réponse, p. 2 ch. I et II).</w:t>
      </w:r>
    </w:p>
    <w:p>
      <w:r>
        <w:t>On peut ainsi lire entre les lignes que les recourants renoncent à demander la suspension du procès civil dont ils entendent qu'il suive son cours. La demanderesse a préféré désigner une nouvelle avocate pour ne pas retarder la procédure. Certes, les recourants ont sans doute tablé sur le fait que la décision du Tribunal fédéral interviendrait avant l'issue du procès au fond. Ils n'avaient à cet égard aucune garantie, et n'ont indiqué aucune limite au-delà de laquelle le procès devrait être suspendu pour permettre le cas échéant à Me B.________ de reprendre les rênes de la défense de sa cliente. Ils ont mis en exergue leur volonté de ne pas retarder la procédure et s'accommodent ainsi de l'avancement du procès quel qu'il puisse être. La nouvelle mandataire a dû se plonger dans le dossier, ce qui a généré des frais supplémentaires pour la demanderesse. L'effort apparaît déjà important si l'on en croit les informations glissées dans des courriers émanant du Juge de district.</w:t>
      </w:r>
    </w:p>
    <w:p>
      <w:r>
        <w:t>En effet, alors que ledit magistrat sollicitait le renvoi d'une clé USB qu'il croyait en mains du Tribunal fédéral, il a cité un courrier du conseil de la défenderesse (joint en annexe) dont il ressort qu'en raison de pièces manquantes, elle souhaiterait obtenir un délai supplémentaire pour déposer sa duplique. Le même magistrat s'est ensuite enquis de l'état de la procédure par missive du 20 septembre 2021, en précisant avoir fixé une séance le 16 novembre 2021.</w:t>
      </w:r>
    </w:p>
    <w:p>
      <w:r>
        <w:t>Il faut en inférer que la demande signée par l'avocat B.________ a été ratifiée d'une manière ou d'une autre (cf. arrêt précité 5A_485/2020 consid. 6.3 destiné à la publication et FRANÇOIS BOHNET, in Commentaire romand, Code de procédure civile, 2e éd. 2019, n° 82 ad art. 59 CPC ), puisque l'échange d'écritures a manifestement pu se poursuivre. Il s'est même probablement achevé avec le dépôt d'une duplique; le Juge de district a fixé une audience nécessitant de sa part une "importante préparation". L'investissement de la nouvelle avocate et les frais y relatifs apparaissent déjà conséquents.</w:t>
      </w:r>
    </w:p>
    <w:p>
      <w:r>
        <w:t>Ces éléments, conjugués au fait que les recourants n'entendent pas suspendre la procédure au fond et n'ont d'emblée indiqué aucune limite au-delà de laquelle le procès devrait être suspendu, conduisent à la conclusion qu'ils n'ont pas un intérêt digne de protection à recourir contre l'interdiction de postuler signifiée à l'encontre de Me B.________.</w:t>
      </w:r>
    </w:p>
    <w:p>
      <w:r>
        <w:rPr>
          <w:b/>
        </w:rPr>
        <w:t>E. 3</w:t>
      </w:r>
    </w:p>
    <w:p>
      <w:r>
        <w:t>A l'aune de ce contexte particulier, le recours doit être déclaré irrecevable. Ses auteurs supporteront solidairement les frais de la procédure et verseront des dépens à leur adverse partie ( art. 66 al. 1 et 5 LTF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