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4A_20/2012 vom 3. Juli 2012</w:t>
      </w:r>
    </w:p>
    <w:p>
      <w:r>
        <w:t>Bundesgericht, 2012-07-03, DE</w:t>
      </w:r>
    </w:p>
    <w:p>
      <w:r>
        <w:rPr>
          <w:b/>
        </w:rPr>
        <w:t xml:space="preserve">Quelle: </w:t>
      </w:r>
      <w:r>
        <w:t>https://mcp.opencaselaw.ch/entscheid/bger_4A_20_2012</w:t>
      </w:r>
    </w:p>
    <w:p>
      <w:r>
        <w:t>FR: TF 4A_20/2012 du 3 juillet 2012</w:t>
      </w:r>
    </w:p>
    <w:p>
      <w:r>
        <w:t>IT: TF 4A_20/2012 del 3 luglio 2012</w:t>
      </w:r>
    </w:p>
    <w:p>
      <w:pPr>
        <w:pStyle w:val="Heading2"/>
      </w:pPr>
      <w:r>
        <w:t>Erwägungen</w:t>
      </w:r>
    </w:p>
    <w:p>
      <w:r>
        <w:rPr>
          <w:b/>
        </w:rPr>
        <w:t>E. 1.1</w:t>
      </w:r>
    </w:p>
    <w:p>
      <w:r>
        <w:t>Der angefochtene Entscheid ist in einer zivilrechtlichen Streitigkeit ( Art. 72 BGG ) im Zusammenhang mit geistigem Eigentum ergangen, für die ein Bundesgesetz ( Art. 5 Abs. 1 lit. a ZPO ) eine einzige kantonale Instanz vorsieht ( Art. 74 Abs. 2 lit. b und Art. 75 Abs. 2 lit. a BGG ). Die Beschwerdeführerin ist mit ihren Anträgen vor der Vorinstanz unterlegen ( Art. 76 Abs. 1 BGG ) und der angefochtene Entscheid schliesst das Verfahren ab ( Art. 90 BGG ). Auf die Beschwerde, die unter Einhaltung der gesetzlichen Frist ( Art. 100 Abs. 1 BGG ) und Form ( Art. 42 BGG ) erhoben wurde, kann daher grundsätzlich eingetreten werden.</w:t>
      </w:r>
    </w:p>
    <w:p>
      <w:r>
        <w:rPr>
          <w:b/>
        </w:rPr>
        <w:t>E. 1.2</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 Auf das Verfahren vor der Vorinstanz fand noch die nunmehr aufgehobene Zivilprozessordnung des Kantons Zürich vom 13. Juni 1976 (aZPO/ZH) Anwendung (vgl. Art. 404 Abs. 1 der Schweizerischen Zivilprozessordnung [ZPO; SR 272]).</w:t>
      </w:r>
    </w:p>
    <w:p>
      <w:r>
        <w:t>Weist das Bundesgericht eine Streitsache an die Vorinstanz zurück, hat die mit der Neubeurteilung befasste kantonale Instanz die rechtliche Beurteilung, mit der die Rückweisung begründet wurde, ihrer Entscheidung zugrunde zu legen. Diese Beurteilung bindet auch das Bundesgericht.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Der Umfang der Bindung ergibt sich aus der Begründung der Rückweisung, die sowohl den Rahmen für die neuen Tatsachenfeststellungen als jenen für die neue rechtliche Begründung vorgibt. Die vom Bundesgericht bereits entschiedenen Fragen sind jedenfalls nicht mehr zu überprüfen ( BGE 135 III 334 E. 2 S. 335 f. mit Hinweisen).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2</w:t>
      </w:r>
    </w:p>
    <w:p>
      <w:r>
        <w:t>Die Beschwerdeführerin wirft der Vorinstanz zunächst eine unzutreffende Verteilung der Beweislast hinsichtlich der technischen Notwendigkeit ( Art. 2 lit. b MSchG ) vor.</w:t>
      </w:r>
    </w:p>
    <w:p>
      <w:r>
        <w:t>Die Vorinstanz hat es in Würdigung eines mit grossem Aufwand erstellten Gutachtens als erwiesen erachtet, dass sämtliche Alternativformen mit höheren Herstellungskosten verbunden sind als der LEGO-Baustein und hat daher die von den Streitmarken beanspruchten Formen als technisch notwendig im Sinne von Art. 2 lit. b MSchG beurteilt. Wo das Gericht in Würdigung von Beweisen zur Überzeugung gelangt, eine Tatsachenbehauptung sei bewiesen oder widerlegt, ist die Beweislastverteilung gegenstandslos und liegt Beweiswürdigung vor ( BGE 130 III 591 E. 5.4 S. 601 f. mit Hinweisen). Die unter Berufung auf Art. 8 und 9 ZGB erhobenen Vorbringen der Beschwerdeführerin zur Beweislastverteilung stossen demnach ins Leere.</w:t>
      </w:r>
    </w:p>
    <w:p>
      <w:r>
        <w:t>Entgegen der in der Beschwerde vertretenen Ansicht lässt sich auch aus dem Umstand, dass die Beschwerdegegnerin keine Kaution für das erstellte Gutachten leistete, nicht ableiten, diese hätte auf den Beweis hinsichtlich der technischen Notwendigkeit verzichtet. Nachdem die Vorinstanz gestützt auf das gerichtliche Gutachten die tatsächlichen Voraussetzungen für den absoluten Ausschlussgrund der technischen Notwendigkeit der beanspruchten Formen für erwiesen erachtet hat, ist die von der Beschwerdeführerin ins Feld geführte Beweislastverteilung auch in diesem Zusammenhang unerheblich. Inwiefern das prozessuale Verhalten der Gegenpartei im Rahmen der Beweiswürdigung zu berücksichtigen war, richtete sich im vorinstanzlichen Verfahren im Übrigen nach dem kantonalen Verfahrensrecht. Die Schlüsse, die das kantonale Gericht in tatsächlicher Hinsicht aus Beweisen und konkreten Umständen zieht, sind im Beschwerdeverfahren lediglich hinsichtlich ihrer Verfassungsmässigkeit überprüfbar; eine Verletzung verfassungsmässiger Rechte zeigt die Beschwerdeführerin diesbezüglich allerdings nicht auf.</w:t>
      </w:r>
    </w:p>
    <w:p>
      <w:r>
        <w:rPr>
          <w:b/>
        </w:rPr>
        <w:t>E. 3</w:t>
      </w:r>
    </w:p>
    <w:p>
      <w:r>
        <w:t>Die Beschwerdeführerin rügt, die von der Vorinstanz festgestellten Mehrkosten für die Herstellung von Alternativformen seien nicht bedeutsam genug, um die beanspruchten Formen als technisch notwendig ( Art. 2 lit. b MSchG ) erscheinen zu lassen.</w:t>
      </w:r>
    </w:p>
    <w:p>
      <w:r>
        <w:rPr>
          <w:b/>
        </w:rPr>
        <w:t>E. 3.1</w:t>
      </w:r>
    </w:p>
    <w:p>
      <w:r>
        <w:t>Das Bundesgericht hielt in seinem Rückweisungsentscheid fest, die tatsächlichen Feststellungen im angefochtenen Urteil des Handelsgerichts erlaubten die Beurteilung nicht, ob die auf den bestimmt proportionierten Quadern aufgesetzten, in bestimmter Weise angeordneten zylinderförmigen Noppen zur Erreichung der angestrebten Klemm- oder Stabilisierungswirkung beim Zusammenbau der Spielbausteine technisch notwendig sind. Dies wäre nach dem Rückweisungsentscheid der Fall, wenn Mitbewerbern wie der Beschwerdegegnerin mit dem Verbot ihrer Verwendung der Verzicht auf eine naheliegende und zweckmässige Form zugemutet würde, so dass sie an deren Stelle eine weniger praktische, eine weniger solide oder eine mit grösseren Herstellungskosten verbundene Ausführung wählen müssten ( BGE 129 III 514 E. 3.2.4 S. 524).</w:t>
      </w:r>
    </w:p>
    <w:p>
      <w:r>
        <w:t>Damit hat das Bundesgericht die Kriterien, unter denen mögliche Alternativformen als unzumutbar zu erachten sind und demzufolge die als Marke beanspruchte Form als technisch notwendig im Sinne von Art. 2 lit. b MSchG zu gelten hat, für die Vorinstanz grundsätzlich verbindlich umschrieben. Dabei hat es nicht etwa erwogen, allfällig festzustellende Mehrkosten bei der Herstellung von Alternativformen seien zusätzlich auf ihre Zumutbarkeit für Mitbewerber zu überprüfen, geschweige denn, Mehrkosten von 5 % seien generell als zumutbar zu erachten, wie dies die Beschwerdeführerin anzunehmen scheint. Entsprechend stellte das Bundesgericht auch in seinem Erläuterungsurteil fest, die angeordnete Rückweisung sei allein zur tatsächlichen Feststellung erfolgt, ob die nach dem handelsgerichtlichen Urteil vom 17. Dezember 2002 bestehenden praktikablen Alternativen zu runden, gefüllten Noppen ebenso praktisch, ebenso solide und mit keinen grösseren Herstellungskosten verbunden seien als die umstrittene, als Marke beanspruchte Form der auf dem Quader aufgesetzten Noppen (Urteil 4C.86/2004 vom 7. Juli 2004 E. 2.1.1 mit Verweis auf BGE 129 III 514 E. 3.2.4 S. 524).</w:t>
      </w:r>
    </w:p>
    <w:p>
      <w:r>
        <w:rPr>
          <w:b/>
        </w:rPr>
        <w:t>E. 3.2</w:t>
      </w:r>
    </w:p>
    <w:p>
      <w:r>
        <w:t>Im Übrigen rechtfertigt sich bei der Beurteilung der Zumutbarkeit möglicher Alternativformen im Hinblick auf die wettbewerbliche Gleichbehandlung die Anwendung eines strengen Prüfungsmassstabs. Die mit der Einräumung einer Formmarke verbundene, zeitlich unbeschränkte Monopolstellung des Markeninhabers soll nach Art. 2 lit. b MSchG nur ermöglicht werden, sofern den Mitbewerbern dadurch angesichts vorhandener gleichwertiger Alternativen kein Nachteil entsteht. Ist die Herstellung alternativer Formen mit Mehrkosten verbunden, so führt dies auch dann zur Unzumutbarkeit der entsprechenden Wahl einer anderen Warenform, wenn der feststellbare Unterschied gering ausfällt. Im Sinne der Gleichbehandlung im funktionierenden Wettbewerb ist den Konkurrenten eine gleichwertige Ausgangslage zu erhalten (vgl. PHILIPPE GILLIÉRON, Les divers régimes de protection des signes distinctifs et leur rapport avec le droit des marques, 2000, S. 229; EUGEN MARBACH, Markenrecht, in: Schweizerisches Immaterialgüter- und Wettbewerbsrecht [SIWR], Bd. III/1, 2. Aufl. 2009, Rz. 527).</w:t>
      </w:r>
    </w:p>
    <w:p>
      <w:r>
        <w:t>Lassen sich - wie vorliegend aufgrund einer Gerichtsexpertise - bei Alternativformen höhere Herstellungskosten feststellen, so ist diese Gleichbehandlung nicht gewährleistet und es ist für die Prüfung der technischen Notwendigkeit ( Art. 2 lit. b MSchG ) davon auszugehen, dass der Kostenunterschied geeignet ist, sich im Wettbewerb auszuwirken. Die festgestellten Kostenunterschiede im Sinne einer weiteren materiellen Voraussetzung zusätzlich noch darauf zu prüfen, ob sich diese unter Berücksichtigung des konkreten Konkurrenzverhältnisses, der erzielten Umsätze und Gewinnmargen dem Konkurrenten zumuten lassen (vgl. etwa den von der Beschwerdeführerin zitierten BGE 83 II 154 E. 3c S. 159), erscheint nicht nur unter dem Gesichtspunkt der Gleichbehandlung im Wettbewerb fragwürdig, sondern würde auch zu erheblicher Rechtsunsicherheit führen und wäre kaum justiziabel (vgl. bereits ALOIS TROLLER, Immaterialgüterrecht, Bd. I, 3. Aufl. 1983, S. 441 f.). Entsprechend wurde im Rückweisungsentscheid auch vorgegeben, bei der Beurteilung der Zumutbarkeit bzw. Unzumutbarkeit von Alternativformen neben weiteren Kriterien darauf abzustellen, ob diese mit grösseren Herstellungskosten verbunden sind, und nicht etwa auf weitere Kosten (für Verpackung, Vertrieb etc.) oder auf Gewinnmargen unter Berücksichtigung von Endverkaufspreisen, auf die sich die Berechnungen in der Beschwerde stützen.</w:t>
      </w:r>
    </w:p>
    <w:p>
      <w:r>
        <w:t>Der Beschwerdeführerin kann demnach nicht gefolgt werden, wenn sie vorbringt, die gestützt auf das gerichtliche Gutachten festgestellten höheren Herstellungskosten für alternative Lösungen von 1.326 - 4.927 % gegenüber dem LEGO-Stein seien bundesrechtlich unerheblich. Der Vorinstanz ist keine Verletzung von Art. 2 lit. b MSchG vorzuwerfen. Es braucht daher nicht auf die Ausführungen der Beschwerdeführerin zur vorinstanzlichen Alternativbegründung eingegangen zu werden, wonach bereits der Umstand der höheren Werkzeugkosten zur Gutheissung der Nichtigkeitsklage führe.</w:t>
      </w:r>
    </w:p>
    <w:p>
      <w:r>
        <w:rPr>
          <w:b/>
        </w:rPr>
        <w:t>E. 4</w:t>
      </w:r>
    </w:p>
    <w:p>
      <w:r>
        <w:t>Die Beschwerdeführerin bringt weiter vor, die tatsächlichen Herstellungskosten der Alternativbausteine seien ohnehin tiefer als im angefochtenen Entscheid festgestellt. Sie wirft der Vorinstanz diesbezüglich Willkür ( Art. 9 BV ) und eine Verletzung des rechtlichen Gehörs ( Art. 29 Abs. 2 BV ) vor.</w:t>
      </w:r>
    </w:p>
    <w:p>
      <w:r>
        <w:rPr>
          <w:b/>
        </w:rPr>
        <w:t>E. 4.1</w:t>
      </w:r>
    </w:p>
    <w:p>
      <w:r>
        <w:t>Sie behauptet, die Berechnungen der Experten basierten auf unrealistisch engen Toleranzen und auf falschen Prämissen betreffend Massgenauigkeit der Werkzeuge sowie Masskontrolle der Formteile. Höhere Toleranzen führten zu tieferen Werkzeug- und Herstellungskosten; entgegen den Experten entstünden bei den Alternativformen sodann keine höheren Wartungskosten. Die Herstellungskosten für kompatible Alternativbausteine seien unter Berücksichtigung dieser Aspekte teilweise tiefer zu veranschlagen als diejenige des LEGO-Grundbausteins.</w:t>
      </w:r>
    </w:p>
    <w:p>
      <w:r>
        <w:rPr>
          <w:b/>
        </w:rPr>
        <w:t>E. 4.2.1</w:t>
      </w:r>
    </w:p>
    <w:p>
      <w:r>
        <w:t>Die Vorbringen zu den vorinstanzlich gestützt auf das gerichtliche Gutachten festgestellten Herstellungskosten sind über weite Strecken appellatorisch. Die Beschwerdeführerin zeigt mit ihren Ausführungen keine Willkür ( Art. 9 BV ) auf, sondern kritisiert in unzulässiger Weise und unter mehrseitiger Wiederholung ihrer Vorbringen im kantonalen Verfahren das Beweisergebnis der Vorinstanz. Dabei beruft sie sich teilweise auf tatsächliche Vorbringen, die sich nicht auf die Sachverhaltsfeststellungen im angefochtenen Entscheid stützen lassen (vgl. Art. 105 Abs. 1 BGG ), wie etwa die Behauptungen, die Experten hätten die Toleranzen der Werkzeuge für die Produktion im KATZ im Rahmen ihrer Expertise bestimmen können oder die Gutachter hätten die Bausteine der Parteien messen und daraus Rückschlüsse auf "realistische" Toleranzen machen können. Damit ist sie nicht zu hören.</w:t>
      </w:r>
    </w:p>
    <w:p>
      <w:r>
        <w:rPr>
          <w:b/>
        </w:rPr>
        <w:t>E. 4.2.2</w:t>
      </w:r>
    </w:p>
    <w:p>
      <w:r>
        <w:t>Die Beschwerdeführerin zeigt auch keine Verletzung des Gehörsanspruchs ( Art. 29 Abs. 2 BV ) auf, wenn sie im Zusammenhang mit den angeblich falschen Prämissen betreffend Massgenauigkeit der Werkzeuge und Masskontrolle der Formteile sowie den Aspekt der Wartungskosten lediglich seitenweise wortwörtlich aus ihren Eingaben im kantonalen Verfahren zitiert und behauptet, die Vorinstanz habe sich damit nicht auseinandergesetzt. Ebenso wenig vermag sie eine Gehörsverletzung darzutun, indem sie ohne weitere Ausführungen vorbringt, die Vorinstanz habe bestimmte Ergänzungsfragen nicht zugelassen, ohne dies zu begründen.</w:t>
      </w:r>
    </w:p>
    <w:p>
      <w:r>
        <w:t>Der Anspruch auf rechtliches Gehör ( Art. 29 Abs. 2 BV ) verlangt insbesondere, dass das Gericht die Vorbringen des vom Entscheid in seiner Rechtsstellung Betroffenen auch tatsächlich hört, prüft und in der Entscheidfindung berücksichtigt ( BGE 134 I 83 E. 4.1 S. 88 mit Hinweisen). Daraus folgt die Verpflichtung der Behörde, ihren Entscheid zu begründen. Die Begründung muss kurz die Überlegungen nennen, von denen sich das Gericht hat leiten lassen und auf die sich sein Entscheid stützt ( BGE 135 V 65 E. 2.4 S. 72). Nicht erforderlich ist hingegen, dass sich der Entscheid mit allen Parteistandpunkten einlässlich auseinandersetzt und jedes einzelne Vorbringen ausdrücklich widerlegt. Es genügt, wenn der Entscheid gegebenenfalls sachgerecht angefochten werden kann ( BGE 136 V 351 E. 4.2 S. 355 ; 134 I 83 E. 4.1 S. 88; 133 III 439 E. 3.3 S. 445; je mit Hinweisen).</w:t>
      </w:r>
    </w:p>
    <w:p>
      <w:r>
        <w:rPr>
          <w:b/>
        </w:rPr>
        <w:t>E. 4.3.1</w:t>
      </w:r>
    </w:p>
    <w:p>
      <w:r>
        <w:t>Die Beschwerdeführerin zeigt hinsichtlich der von den Experten angenommenen Toleranzen von +/- 5? keine Willkür auf, wenn sie dem angefochtenen Entscheid ihre eigene Ansicht zu den zu verwendenden Toleranzen gegenüberstellt und behauptet, die Annahme der Experten im Rahmen des Gutachtens sei viel zu eng und wirklichkeitsfremd, was sich auf die Berechnung der Herstellungskosten ausgewirkt habe. Willkür im Sinne von Art. 9 BV liegt nach ständiger Rechtsprechung nicht schon dann vor, wenn eine andere Lösung ebenfalls vertretbar erscheint oder gar vorzuziehen wäre, sondern erst, wenn sie offensichtlich unhaltbar ist, zur tatsächlichen Situation in klarem Widerspruch steht, eine Norm oder einen unumstrittenen Rechtsgrundsatz krass verletzt oder in stossender Weise dem Gerechtigkeitsgedanken zuwiderläuft ( BGE 137 I 1 E. 2.4 ; 136 I 316 E. 2.2.2. S. 318 f.; 135 V 2 E. 1.3 S. 4 f.). Mit den blossen Vorbringen, es habe sich eine Offerte eines Dritten vom 5. Oktober 2005 für die Herstellung entsprechender Werkzeuge bei den Akten befunden, die sich bei den Noppen auf Toleranzen von +/- 20? beziehe bzw. sie selber verwende Toleranzen von mindestens +/- 10? weist sie die im gerichtlichen Gutachten verwendeten Toleranzen nicht als willkürlich aus. Entsprechendes gilt für die Behauptung, es sei bei den Toleranzen auf die am KATZ produzierten Bausteine und nicht diejenigen der im Handel erhältlichen "echten" LEGO-Bausteine abzustellen.</w:t>
      </w:r>
    </w:p>
    <w:p>
      <w:r>
        <w:t>Abgesehen davon legt die Beschwerdeführerin auch nicht dar, wie sich die angeblich realitätsfremden Toleranzen konkret auf den Vergleich der Herstellungskosten ausgewirkt und damit zu einem unhaltbaren Ergebnis geführt haben sollen, zumal im Rahmen der gutachterlichen Versuche auch für die LEGO-Bausteine dieselben Werte verwendet wurden (vgl. BGE 137 I 1 E. 2.4 ; 136 I 316 E. 2.2.2. S. 318 f.; 135 V 2 E. 1.3 S. 4 f.; je mit Hinweisen).</w:t>
      </w:r>
    </w:p>
    <w:p>
      <w:r>
        <w:rPr>
          <w:b/>
        </w:rPr>
        <w:t>E. 4.3.2</w:t>
      </w:r>
    </w:p>
    <w:p>
      <w:r>
        <w:t>Soweit die Beschwerdeführerin der Vorinstanz im Zusammenhang mit den konkret verwendeten Toleranzen eine Verletzung des rechtlichen Gehörs vorwirft, sind ihre Vorbringen unbegründet. Die Parteien haben sich über den Versuchsablauf geeinigt, den sie im weiteren Verlauf auch eng begleiteten. Die Beschwerdeführerin behauptet vor Bundesgericht nicht, sie hätte sich bereits im Hauptverfahren darauf berufen, dass sie bei ihren eigenen Bausteinen Toleranzen von mindestens +/- 10? verwende bzw. dass diese bei Spielbausteinen üblich seien. Vielmehr trägt sie lediglich vor, dies in ihrer Stellungnahme vom 22. Oktober 2010 zum Beweisergebnis (act. 463) vorgebracht zu haben. Wie die Beschwerdegegnerin zutreffend einwendet, kann demnach hinsichtlich der Toleranzen nicht von Beweislosigkeit gesprochen werden. Ebenso wenig kann die Darstellung des von der Vorinstanz als widersprüchlich erachteten Prozessverhaltens im angefochtenen Entscheid als aktenwidrig bezeichnet werden.</w:t>
      </w:r>
    </w:p>
    <w:p>
      <w:r>
        <w:t>Die Beschwerdeführerin wurde vom Gericht auf Mitteilung des Gutachters Prof. A.________ vom 9. April 2009 hin eigens dazu aufgefordert, nähere Angaben betreffend vorgeschriebene Masse und Toleranzen zu machen. Sie verweigerte jedoch unter Berufung auf das Betriebsgeheimnis ausdrücklich jegliche Angaben. Die Beschwerdeführerin versucht vor Bundesgericht vergeblich, die damalige Bedeutung der vom Gutachter verlangten Angaben unter Hinweis auf die Wortwahl des Schreibens (wonach diesbezügliche Angaben "hilfreich" wären) und den angeblichen Umstand zu entkräften, die Angaben seien auf den Aspekt der Nachschwindung beschränkt gewesen. Zum einen gilt es zu berücksichtigen, dass das Schreiben von Prof. A.________ vom 9. April 2009 formell an die Vorinstanz gerichtet und entsprechend abgefasst war, zumal entsprechende Informationen von den Gutachtern nicht direkt bei den Parteien verlangt werden konnten, sondern das Gericht die verfahrensleitenden Verfügungen zu treffen hatte; zum anderen geht aus der gutachterlichen Anfrage ohne Weiteres erkennbar hervor, dass die verlangten Angaben zu den Toleranzen nicht nur für die Funktionskontrolle des Werkzeugs, sondern auch für die Überprüfung der Massgenauigkeit der im Rahmen des Versuchsablaufs produzierten Bausteine von Bedeutung waren. Dennoch lehnte es die Beschwerdeführerin in ihrem Schreiben vom 5. Mai 2009 unter Berufung auf die Geheimhaltung kategorisch ab, Angaben zu den Toleranzen zu machen. Der Vorinstanz ist keine Bundesrechtsverletzung vorzuwerfen, wenn sie unter diesen Umständen die erst anlässlich der Stellungnahme vom 22. Oktober 2010 zum Beweisergebnis erhobenen Vorbringen der Beschwerdeführerin, sie arbeite mit Toleranzen von +/- 10?, die bei Noppen üblich seien, als widersprüchlich und unter dem Gesichtspunkt von Treu und Glauben unzulässig erachtete und auf das ebenfalls erst in diesem Verfahrensstadium beantragte Gutachten bezüglich Toleranzen verzichtete.</w:t>
      </w:r>
    </w:p>
    <w:p>
      <w:r>
        <w:t>Die Rüge der Gehörsverletzung stösst auch im Zusammenhang mit der Urteilsbegründung hinsichtlich der im Gutachten tatsächlich verwendeten Toleranzen ins Leere. Insbesondere vermag die Beschwerdeführerin nicht aufzuzeigen, inwiefern ihr die Begründung des angefochtenen Entscheids verunmöglicht hätte, diesen gegebenenfalls sachgerecht anzufechten ( BGE 136 V 351 E. 4.2 S. 355 ; 134 I 83 E. 4.1 S. 88; 133 III 439 E. 3.3 S. 445; je mit Hinweisen).</w:t>
      </w:r>
    </w:p>
    <w:p>
      <w:r>
        <w:t>Die Beschwerdeführerin vermag weder eine verfassungswidrige Anwendung kantonaler Verfahrensvorschriften noch eine Gehörsverletzung darzutun.</w:t>
      </w:r>
    </w:p>
    <w:p>
      <w:r>
        <w:rPr>
          <w:b/>
        </w:rPr>
        <w:t>E. 5</w:t>
      </w:r>
    </w:p>
    <w:p>
      <w:r>
        <w:t>Die Begründung der Vorinstanz, wonach die von den Streitmarken beanspruchten Formen aufgrund der höheren Herstellungskosten für Alternativformen als technisch notwendig ( Art. 2 lit. b MSchG ) zu erachten sind, hält vor Bundesgericht stand. Auf die Ausführungen der Beschwerdeführerin zum weiteren Kriterium der Praktikabilität von Alternativlösungen ist daher nicht weiter einzugehen.</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