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209/2018 vom 3. Mai 2018</w:t>
      </w:r>
    </w:p>
    <w:p>
      <w:r>
        <w:t>Bundesgericht, 2018-05-03, IT</w:t>
      </w:r>
    </w:p>
    <w:p>
      <w:r>
        <w:rPr>
          <w:b/>
        </w:rPr>
        <w:t xml:space="preserve">Quelle: </w:t>
      </w:r>
      <w:r>
        <w:t>https://mcp.opencaselaw.ch/entscheid/bger_4A_209_2018</w:t>
      </w:r>
    </w:p>
    <w:p>
      <w:r>
        <w:t>FR: TF 4A 209/2018 du 3 mai 2018</w:t>
      </w:r>
    </w:p>
    <w:p>
      <w:r>
        <w:t>IT: TF 4A 209/2018 del 3 maggio 2018</w:t>
      </w:r>
    </w:p>
    <w:p>
      <w:pPr>
        <w:pStyle w:val="Heading2"/>
      </w:pPr>
      <w:r>
        <w:t>Regeste</w:t>
      </w:r>
    </w:p>
    <w:p>
      <w:r>
        <w:t>azione creditoria | Diritto delle obbligazioni (in generale)</w:t>
      </w:r>
    </w:p>
    <w:p>
      <w:pPr>
        <w:pStyle w:val="Heading2"/>
      </w:pPr>
      <w:r>
        <w:t>Erwägungen</w:t>
      </w:r>
    </w:p>
    <w:p>
      <w:r>
        <w:rPr>
          <w:b/>
        </w:rPr>
        <w:t>E. 1</w:t>
      </w:r>
    </w:p>
    <w:p>
      <w:r>
        <w:t>Il Pretore della giurisdizione di Mendrisio-nord ha respinto, con sentenza 30 settembre 2016, l'azione con cui A.________ ha chiesto di condannare B.________ e C.________ a pagargli fr. 293'333.35. Il Pretore ha considerato che il documento su cui l'attore basava la propria pretesa era privo di qualsiasi forza probatoria, perché il passaggio determinante per la remunerazione richiesta era stato aggiunto dopo che la convenuta lo aveva firmato per i coniugi.</w:t>
      </w:r>
    </w:p>
    <w:p>
      <w:r>
        <w:rPr>
          <w:b/>
        </w:rPr>
        <w:t>E. 2</w:t>
      </w:r>
    </w:p>
    <w:p>
      <w:r>
        <w:t>Con sentenza 26 febbraio 2018 la II Camera civile del Tribunale di appello del Cantone Ticino ha respinto, nella misura in cui è ricevibile, l'appello presentato da A.________. La Corte cantonale ha dapprima considerato che l'appello era in larga misura irricevibile, perché l'attore non si era confrontato in modo puntuale con le considerazioni pretorili e perché era in parte fondato su argomenti formulati per la prima volta in seconda istanza. Ha unicamente ritenuto ricevibile, ma infondato, il rilievo secondo cui i convenuti non avrebbero sporto una denuncia penale. Con una seconda linea argomentativa l'autorità inferiore ha poi esposto ulteriori ragioni per cui il documento in questione risulta inattendibile.</w:t>
      </w:r>
    </w:p>
    <w:p>
      <w:r>
        <w:rPr>
          <w:b/>
        </w:rPr>
        <w:t>E. 3</w:t>
      </w:r>
    </w:p>
    <w:p>
      <w:r>
        <w:t>Con ricorso in materia civile del 9 aprile 2018 A.________ postula, previo conferimento dell'effetto sospensivo al gravame, la riforma della sentenza impugnata nel senso che, in accoglimento della petizione, i convenuti siano condannati a versargli fr. 293'333.--. Lamenta che la Corte di appello ha a torto ritenuto verosimile quanto affermato da B.________ e inaffidabile la testimonianza di colui che avrebbe redatto lo scritto in questione. Il ricorrente sostiene pure che i convenuti non avevano soddisfatto il loro obbligo di motivare la contestazione dell'autenticità del documento. Non è stato ordinato uno scambio di scritti.</w:t>
      </w:r>
    </w:p>
    <w:p>
      <w:r>
        <w:rPr>
          <w:b/>
        </w:rPr>
        <w:t>E. 4.1</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 Qualora la sentenza impugnata si fondi su due motivazioni alternative e indipendenti, il ricorrente deve confrontarsi, pena l'inammissibilità, con entrambe ( DTF 138 III 728 consid. 3.4; 138 I 97 consid. 4.1.4; 133 IV 119 consid. 6.3).</w:t>
      </w:r>
    </w:p>
    <w:p>
      <w:r>
        <w:rPr>
          <w:b/>
        </w:rPr>
        <w:t>E. 4.2</w:t>
      </w:r>
    </w:p>
    <w:p>
      <w:r>
        <w:t>Nella fattispecie il ricorso non soddisfa i predetti requisiti. Il ricorrente incentra infatti il suo gravame sulla contestazione, meramente appellatoria, della valutazione di due deposizioni testimoniali, ignorando le peculiarità, segnatamente grafiche, del documento su cui basa la propria pretesa rilevate dalla Corte cantonale. Egli omette pure di censurare le considerazioni dell'autorità inferiore sull'irricevibilità dell'appello e nemmeno pretende di avere già addotto nella procedura cantonale che i convenuti non avrebbero motivato la contestazione dell'autenticità del documento in questione.</w:t>
      </w:r>
    </w:p>
    <w:p>
      <w:r>
        <w:rPr>
          <w:b/>
        </w:rPr>
        <w:t>E. 5</w:t>
      </w:r>
    </w:p>
    <w:p>
      <w:r>
        <w:t>Da quanto precede discende che il ricorso, manifestamente non motivato in modo sufficiente, si rivela interamente inammissibile e come tale va deciso dalla Presidente della Corte adita nella procedura semplificata ( art. 108 cpv. 1 lett. b LTF ). Con l'evasione del gravame la domanda di effetto sospensivo è divenuta caduca. Le spese giudiziarie seguono la soccombenza ( art. 66 cpv. 1 LTF ), mentre non si giustifica assegnare ripetibili agli opponenti che, non essendo stati invitati a determinarsi, non sono incorsi in spese per la procedura innanzi al Tribunale federale. per questi motivi, la Presidente pronuncia: 1. Il ricorso è inammissibile. 2. Le spese giudiziarie di fr. 500.-- sono poste a carico del ricorrente. 3. Comunicazione ai patrocinatori delle parti e alla II Camera civile del Tribunale d'appello del Cantone Ticino. Losanna, 3 maggio 2018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