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4A_209/2014 vom 16. Dezember 2014</w:t>
      </w:r>
    </w:p>
    <w:p>
      <w:r>
        <w:t>Bundesgericht, 2014-12-16, FR</w:t>
      </w:r>
    </w:p>
    <w:p>
      <w:r>
        <w:rPr>
          <w:b/>
        </w:rPr>
        <w:t xml:space="preserve">Quelle: </w:t>
      </w:r>
      <w:r>
        <w:t>https://mcp.opencaselaw.ch/entscheid/bger_4A_209_2014</w:t>
      </w:r>
    </w:p>
    <w:p>
      <w:r>
        <w:t>FR: TF 4A_209/2014 du 16 décembre 2014</w:t>
      </w:r>
    </w:p>
    <w:p>
      <w:r>
        <w:t>IT: TF 4A_209/2014 del 16 dicembre 2014</w:t>
      </w:r>
    </w:p>
    <w:p>
      <w:pPr>
        <w:pStyle w:val="Heading2"/>
      </w:pPr>
      <w:r>
        <w:t>Erwägungen</w:t>
      </w:r>
    </w:p>
    <w:p>
      <w:r>
        <w:rPr>
          <w:b/>
        </w:rPr>
        <w:t>E. 1</w:t>
      </w:r>
    </w:p>
    <w:p>
      <w:r>
        <w:t>Le recours est dirigé contre un arrêt final ( art. 90 LTF ) rendu en matière civile ( art. 72 al. 1 LTF ) par un tribunal supérieur statuant en dernière instance cantonale ( art. 75 LTF ). La présente cause atteint la valeur litigieuse de 15'000 fr. ouvrant le recours en matière civile dans les affaires relevant du droit du bail à loyer ( art. 74 al. 1 let. a LTF ; cf. ATF 137 III 389 consid. 1.1 p. 390; 136 III 196 consid. 1.1 p. 197). Au surplus, le recours est exercé par les parties qui ont succombé dans leurs conclusions tendant à faire constater la validité du congé et qui ont donc qualité pour recourir ( art. 76 al. 1 LTF ). Déposé dans le délai ( art. 45 al. 1 et art. 100 al. 1 LTF ) et la forme ( art. 42 LTF ) prévus par la loi, le recours est en principe recevable.</w:t>
      </w:r>
    </w:p>
    <w:p>
      <w:r>
        <w:rPr>
          <w:b/>
        </w:rPr>
        <w:t>E. 2</w:t>
      </w:r>
    </w:p>
    <w:p>
      <w:r>
        <w:t>Au préalable, il convient de relever que, même si le congé anticipé a été notifié à chacun des époux C.________, le bail a été conclu par A.C.________ et l'appartement de la rue X.________ n'a jamais constitué le logement de la famille fondée par les intimés. Seul le comportement du locataire est donc déterminant dans la présente cause.</w:t>
      </w:r>
    </w:p>
    <w:p>
      <w:r>
        <w:rPr>
          <w:b/>
        </w:rPr>
        <w:t>E. 3</w:t>
      </w:r>
    </w:p>
    <w:p>
      <w:r>
        <w:t>Dans un premier moyen, les recourants se plaignent d'une violation de l' art. 9 Cst. A leur sens, la constatation des juges précédents selon laquelle le locataire a conservé l'usage de l'appartement litigieux repose sur une appréciation arbitraire des preuves. Au contraire, les éléments recueillis démontreraient à l'évidence que l'intimé n'occupe pas le logement, a laissé à l'usage exclusif de sa fille et de l'ami de celle-ci. Les allégations du locataire sur sa présence dans le logement une à deux fois par semaine, la veille du marché aux puces, ne seraient corroborées que par les déclarations de son épouse, partie à la procédure, de sa fille et de l'ami de celle-ci, lesquels ont tous intérêt à cette version des faits. De plus, ces déclarations seraient sur certains points incohérentes entre elles, notamment sur la question du couchage utilisé par le locataire lorsqu'il dort dans l'appartement. D'après les recourants, le témoignage de la voisine de palier, pris en compte par la cour cantonale, permet uniquement de retenir la présence très occasionnelle du locataire dans l'immeuble, à la belle saison. En revanche, le témoignage de l'époux de la concierge, présent dans l'immeuble de 8 à 17 heures, aurait dû être tenu pour déterminant par les juges précédents; or, ce témoin a déclaré n'avoir plus revu l'intimé depuis le décès de sa mère, en 2006. Pour tenter de démontrer le caractère invraisemblable de la version présentée par le locataire et ses proches, les recourants font valoir l'absence de problèmes conjugaux des intimés - attestée par le témoignage de l'ami de leur fille - ainsi que la distance équivalente entre le lieu du marché aux puces et chacun des deux logements loués à la rue X.________ et au chemin Y.________.</w:t>
      </w:r>
    </w:p>
    <w:p>
      <w:r>
        <w:rPr>
          <w:b/>
        </w:rPr>
        <w:t>E. 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3.2</w:t>
      </w:r>
    </w:p>
    <w:p>
      <w:r>
        <w:t>En l'espèce, les bailleurs alléguaient que le locataire avait totalement perdu l'usage de l'appartement au profit de sa fille qui l'occupait en compagnie de son ami. La cour cantonale a considéré que la preuve de ce fait n'a pas été rapportée. Tout d'abord, il n'est pas démontré que l'ami de la fille de l'intimé réside régulièrement dans l'appartement litigieux. Ensuite, la Cour de justice a constaté que la fille du locataire habite, à tout le moins partiellement, dans ce logement. Il n'est pas établi pour autant que le locataire a perdu l'usage de l'appartement. En effet, les allégations de l'intimé selon lesquelles il y réside une à deux fois par semaine sont confirmées par son épouse, sa fille et l'ami de celle-ci. La cour cantonale a jugé que les éléments apportés par les bailleurs ne permettent pas de dénier tout crédit à ces déclarations.</w:t>
      </w:r>
    </w:p>
    <w:p>
      <w:r>
        <w:t>Ce faisant, les juges genevois ne se sont pas livrés à une appréciation arbitraire des preuves. Contrairement à ce que les recourants prétendent, le témoignage de la voisine de palier ne va pas à l'encontre des déclarations de l'entourage du locataire puisqu'elle affirme rencontrer dans l'immeuble l'intimé aussi souvent que la fille de celui-ci. Par ailleurs, comme la cour cantonale l'observe à juste titre, le témoignage de l'époux de la concierge n'est pas nécessairement incompatible avec les allégations du locataire, qui peut fort bien accéder à l'appartement en dehors des heures de présence du témoin. Quant à la prétendue incohérence entre le témoignage de la fille de l'intimé et celui de son ami, elle ne saurait enlever tout crédit auxdites déclarations; si l'un des témoins a mentionné un lit simple et l'autre, un canapé-lit - ce qui n'est pas forcément inconciliable -, tous les deux ont bien indiqué que l'intimé dormait dans l'alcôve. Par ailleurs, quand bien même les deux logements loués par le locataire seraient à équidistance de la plaine de Plainpalais, la version de l'intimé n'en serait pas pour autant invraisemblable, de sorte qu'elle ne puisse être prise en considération par le juge sous peine d'arbitraire, car d'autres motifs pratiques peuvent présider au choix de dormir dans l'appartement de la rue X.________ la veille des jours de marché. Enfin, l'état des relations conjugales entre les intimés est un élément sans pertinence puisque le locataire ne s'est jamais placé sur ce terrain-là pour justifier sa présence bi-hebdomadaire dans l'appartement en cause.</w:t>
      </w:r>
    </w:p>
    <w:p>
      <w:r>
        <w:t>En conclusion, le grief tiré de la violation de l' art. 9 Cst. est mal fondé.</w:t>
      </w:r>
    </w:p>
    <w:p>
      <w:r>
        <w:rPr>
          <w:b/>
        </w:rPr>
        <w:t>E. 4</w:t>
      </w:r>
    </w:p>
    <w:p>
      <w:r>
        <w:t>Les recourants se plaignent également d'une violation de l' art. 257f al. 3 CO et de l' art. 8 CC . D'une part, ils font valoir que le transfert du bail à la fille des intimés sans le consentement des bailleurs constitue une violation de l'obligation de diligence qui justifiait, après vaine sommation, la résiliation anticipée du bail. D'autre part, ils considèrent avoir apporté des preuves convaincantes de la sous-location, de sorte qu'il appartenait aux intimés de démontrer les circonstances particulières propres à ébranler ces preuves, notamment par la production de leur déclaration fiscale mentionnant le loyer de l'appartement comme une charge.</w:t>
      </w:r>
    </w:p>
    <w:p>
      <w:r>
        <w:rPr>
          <w:b/>
        </w:rPr>
        <w:t>E. 4.1</w:t>
      </w:r>
    </w:p>
    <w:p>
      <w:r>
        <w:t>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 Une sous-location sans le consentement du bailleur peut justifier une résiliation anticipée selon cette disposition. Encore faut-il que le bailleur ait été en droit de refuser son consentement (cf. art. 262 al. 2 CO ; ATF 134 III 300 consid. 3.1 p. 302 s.) ou que le locataire abuse de son droit à la sous-location; cette dernière hypothèse est réalisée lorsque, ayant perdu toute idée de reprendre un jour l'usage de la chose louée, le locataire procède en réalité à une substitution de locataire par la voie détournée de la sous-location ( ATF 138 III 59 consid. 2.2.1 p. 63; 134 III 446 consid. 2.4 p. 450).</w:t>
      </w:r>
    </w:p>
    <w:p>
      <w:r>
        <w:t>Le bailleur qui notifie un congé fondé sur l' art. 257f al. 3 CO doit prouver les faits qui en sont la condition. Lorsque, comme en l'espèce, le bailleur soutient que le locataire a procédé à une sous-location abusive, consistant en réalité à une substitution de locataire, il lui incombe, conformément à l' art. 8 CC , d'apporter la preuve des faits permettant de parvenir à cette conviction (arrêt 4A_367/2010 du 4 octobre 2010 consid. 2.2).</w:t>
      </w:r>
    </w:p>
    <w:p>
      <w:r>
        <w:rPr>
          <w:b/>
        </w:rPr>
        <w:t>E. 4.2</w:t>
      </w:r>
    </w:p>
    <w:p>
      <w:r>
        <w:t>La substitution de locataire, dénuée de toute intention de reprendre un jour l'usage de la chose louée, suppose au préalable que le locataire qui sous-loue a entièrement perdu cet usage. En l'occurrence, il appartenait aux bailleurs de prouver ce fait. Or, d'une manière dénuée d'arbitraire (cf. consid. 3.2 supra), la cour cantonale a constaté que les recourants avaient échoué dans cette preuve. A partir de là, une violation de l'obligation de diligence pour abus du droit de sous-louer n'entre pas en considération (cf. ATF 136 III 186 consid. 3.2.3</w:t>
      </w:r>
    </w:p>
    <w:p>
      <w:r>
        <w:t>in fine p. 190). La cour cantonale n'a dès lors pas méconnu l' art. 257f al. 3 CO en jugeant que les conditions d'une résiliation anticipée n'étaient pas réalisées.</w:t>
      </w:r>
    </w:p>
    <w:p>
      <w:r>
        <w:t>Par ailleurs, comme les bailleurs, qui invoquaient un transfert de bail déguisé, n'ont jamais allégué que le locataire aurait procédé à une sous-location partielle à des conditions abusives (cf. art. 262 al. 2 let. b CO ; ATF 119 II 353 consid. 5a p. 355 ss), la cour cantonale n'avait pas à élucider les relations patrimoniales entre fille et père. Contrairement à ce que les recourants prétendent, la production de la déclaration fiscale des intimés ne se justifiait donc pas, de sorte que le grief tiré d'une violation de l' art. 8 CC se révèle également mal fondé.</w:t>
      </w:r>
    </w:p>
    <w:p>
      <w:r>
        <w:rPr>
          <w:b/>
        </w:rPr>
        <w:t>E. 5</w:t>
      </w:r>
    </w:p>
    <w:p>
      <w:r>
        <w:t>Les recourants, qui succombent, prendront à leur charge les frais judiciaires ( art. 66 al. 1 LTF ).</w:t>
      </w:r>
    </w:p>
    <w:p>
      <w:r>
        <w:t>Les intimés, qui ont signé le mémoire de réponse, réclament une indemnité de dépens dont le montant correspond à une note de frais et d'honoraires établie par l'ASLOCA. Ils font valoir que, ne disposant pas des connaissances juridiques nécessaires, ils ont confié la rédaction du mémoire susmentionné à l'employé de l'ASLOCA, titulaire du brevet d'avocat, qui les avait accompagnés devant les deux instances cantonales. A l'appui de leur conclusion, ils invoquent l' art. 68 al. 2 LTF ainsi que l'art. 1 let. b et l'art. 9 du règlement sur les dépens alloués à la partie adverse et sur l'indemnité pour la représentation d'office dans les causes portées devant le Tribunal fédéral (RS 173.110.210.3; ci-après: le règlement).</w:t>
      </w:r>
    </w:p>
    <w:p>
      <w:r>
        <w:t>En règle générale, la partie qui succombe est tenue de rembourser à la partie qui a obtenu gain de cause, selon le tarif du Tribunal fédéral, tous les frais nécessaires causés par le litige ( art. 68 al. 2 LTF ). Aux termes de l'art. 1 du règlement, les dépens alloués selon l' art. 68 LTF comprennent les frais d'avocat (let. a) et les autres frais indispensables occasionnés par le litige (let. b). L'art. 11 du règlement précise que, lorsque des circonstances particulières le justifient, le Tribunal fédéral peut allouer à une partie une indemnité pour des activités indispensables occasionnées par le litige, autres que la représentation par un mandataire autorisé.</w:t>
      </w:r>
    </w:p>
    <w:p>
      <w:r>
        <w:t>Selon la jurisprudence rendue sur la base de ces dispositions, la partie qui n'est pas représentée par un avocat ne peut, en principe, pas prétendre à des dépens ( ATF 133 III 439 consid. 4 p. 446; déjà sous l'empire de l'OJ, ATF 115 Ia 12 consid. 5 p. 21). Le Tribunal fédéral a appliqué cette règle lorsque la partie, non valablement représentée par un avocat également employé de l'ASLOCA, a implicitement repris à son compte le mémoire déposé ( ATF 139 III 249 consid. 1</w:t>
      </w:r>
    </w:p>
    <w:p>
      <w:r>
        <w:t>in fine p. 251). Il n'y a pas lieu de traiter différemment le présent cas. L'art. 9 du règlement auquel les intimés se réfèrent permet certes, à certaines conditions, l'allocation d'une indemnité en cas de représentation, voire d'assistance par une personne qui n'est pas avocat (cf. Bernard Corboz, in Commentaire de la LTF, 2e éd. 2014, n° 17 ad art. 68). Une telle possibilité n'entre toutefois pas en ligne de compte en matière civile où le monopole des avocats prévaut (cf. art. 40 al. 1 LTF ). Dépourvus des connaissances juridiques nécessaires, les intimés pouvaient se faire représenter par un avocat autorisé au sens de l' art. 40 al. 1 LTF . Ils ont choisi d'agir par eux-mêmes, se faisant assister par l'ASLOCA qui n'est pas autorisée à les représenter devant le Tribunal fédéral. Cette option - manière de contourner le monopole des avocats - ne constitue pas une circonstance particulière justifiant une exception à la règle rappelée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