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4A_208/2019 vom 30. Januar 2020</w:t>
      </w:r>
    </w:p>
    <w:p>
      <w:r>
        <w:t>Bundesgericht, 2020-01-30, FR</w:t>
      </w:r>
    </w:p>
    <w:p>
      <w:r>
        <w:rPr>
          <w:b/>
        </w:rPr>
        <w:t xml:space="preserve">Quelle: </w:t>
      </w:r>
      <w:r>
        <w:t>https://mcp.opencaselaw.ch/entscheid/bger_4A_208_2019</w:t>
      </w:r>
    </w:p>
    <w:p>
      <w:r>
        <w:t>FR: TF 4A_208/2019 du 30 janvier 2020</w:t>
      </w:r>
    </w:p>
    <w:p>
      <w:r>
        <w:t>IT: TF 4A_208/2019 del 30 gennaio 2020</w:t>
      </w:r>
    </w:p>
    <w:p>
      <w:pPr>
        <w:pStyle w:val="Heading2"/>
      </w:pPr>
      <w:r>
        <w:t>Erwägungen</w:t>
      </w:r>
    </w:p>
    <w:p>
      <w:r>
        <w:rPr>
          <w:b/>
        </w:rPr>
        <w:t>E. 1</w:t>
      </w:r>
    </w:p>
    <w:p>
      <w:r>
        <w:t>Interjeté en temps utile (art. 100 al. 1 et 46 al. 1 let. a LTF), par les demandeurs qui ont vu leur demande déclarée irrecevable, faute de tentative de conciliation préalable ( art. 76 al. 1 LTF ), et dirigé contre une décision finale ( art. 90 LTF ) prise sur recours par le tribunal supérieur du canton ( art. 75 LTF ) dans une contestation en matière de responsabilité civile dont la valeur litigieuse est supérieure à 30'000 fr. (art. 72 al. 1 et 74 al. 1 let. b LTF), le recours en matière civile est recevable au regard de ces dispositions.</w:t>
      </w:r>
    </w:p>
    <w:p>
      <w:r>
        <w:rPr>
          <w:b/>
        </w:rPr>
        <w:t>E. 2</w:t>
      </w:r>
    </w:p>
    <w:p>
      <w:r>
        <w:t>Saisi d'un recours en matière civile, le Tribunal fédéral applique d'office le droit ( art. 106 al. 1 LTF ). Il n'est pas lié par l'argumentation juridique développée par les parties ou par l'autorité précédente; il peut admettre le recours, comme il peut le rejeter en procédant à une substitution de motifs ( ATF 133 III 545 consid. 2.2).</w:t>
      </w:r>
    </w:p>
    <w:p>
      <w:r>
        <w:rPr>
          <w:b/>
        </w:rPr>
        <w:t>E. 3</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(art. 209, 221 al. 2 let. b et 244 al. 3 let. b CC).</w:t>
      </w:r>
    </w:p>
    <w:p>
      <w:r>
        <w:rPr>
          <w:b/>
        </w:rPr>
        <w:t>E. 3.1</w:t>
      </w:r>
    </w:p>
    <w:p>
      <w:r>
        <w:t>Cette obligation de la tentative de conciliation préalable a été introduite par le législateur dans le but de décharger les tribunaux des affaires qui sont susceptibles d'être conciliées.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140 III 79 consid. 4-5). Il est interdit aux parties de renoncer d'un commun accord à la procédure de conciliation, sous réserve des cas visés par l' art. 199 CPC (arrêt 4A_416/2019 du 5 février 2020 consid. 1.1, 4.1.3 et 4.1.4, destiné à la publication; cf. infra consid. 3.2).</w:t>
      </w:r>
    </w:p>
    <w:p>
      <w:r>
        <w:t>Cette obligation a encore été renforcée par la possibilité pour l'autorité de conciliation de citer les parties à comparaître personnellement, sous la menace d'une amende en cas de non-comparution ( ATF 141 III 265 consid. 5.1; arrêt 4A_416/2019 déjà cité consid. 3.3).</w:t>
      </w:r>
    </w:p>
    <w:p>
      <w:r>
        <w:t>En outre, la jurisprudence a fait interdiction à l'autorité de conciliation de dispenser les parties de comparaître personnellement, sous réserve des cas de l' art. 204 al. 3 CPC . Si une partie ne comparaît pas personnellement, alors même qu'elle ne peut se prévaloir d'un des motifs de dispense prévu dans cette disposition, elle est considérée comme défaillante (arrêt 4A_416/2019 déjà cité consid. 3.2).</w:t>
      </w:r>
    </w:p>
    <w:p>
      <w:r>
        <w:t>Les conséquences du défaut de comparution, respectivement du demandeur, du défendeur ou des deux parties sont réglées différemment par l' art. 206 CPC . Une autorisation de procéder délivrée par l'autorité de conciliation alors que les deux parties n'ont pas comparu en personne n'est pas valable en vertu de l' art. 206 al. 3 CPC (la procédure devenant sans objet) et le tribunal saisi de la demande au fond ne pourra que déclarer celle-ci irrecevable pour ce motif (arrêt 4A_416/2019 déjà cité consid. 3.2).</w:t>
      </w:r>
    </w:p>
    <w:p>
      <w:r>
        <w:rPr>
          <w:b/>
        </w:rPr>
        <w:t>E. 3.2</w:t>
      </w:r>
    </w:p>
    <w:p>
      <w:r>
        <w:t>Les cas dans lesquels le législateur a renoncé à imposer la conciliation préalable obligatoire sont exhaustivement énumérés par les art. 198 et 199 CPC (arrêt 4A_176/2019 du 2 septembre 2019 consid. 4.3). Il s'agit notamment des affaires soumises à la procédure sommaire et des actions relevant de la LP, qui, par nature, doivent être traitées avec célérité ( art. 198 let. a CPC ; Message CPC ad art. 195 p. 6936 s.). Il s'agit également des demandes reconventionnelles ( art. 198 let . g CPC) et des actions précédées d'une requête de mesures provisionnelles ( art. 263 CPC ) lorsque le tribunal a fixé un délai pour le dépôt de la demande ( art. 198 let . h CPC). Dans ces dernières, l'exclusion de la tentative de conciliation préalable est justifiée non seulement par la rapidité avec laquelle l'affaire doit être traitée, mais aussi par l'inutilité d'une telle procédure lorsque les parties ont déjà effectivement participé à une conciliation sur la demande principale, respectivement ont déjà été opposées, sans trouver un accord, dans une procédure indépendante portant sur le même complexe de faits dans le cadre de mesures provisionnelles.</w:t>
      </w:r>
    </w:p>
    <w:p>
      <w:r>
        <w:t>Le législateur n'a pas voulu imposer une double tentative de conciliation, de sorte qu'il y a lieu d'admettre qu'il y a dans une telle situation un juste motif de dispense au sens de l'art. 204 al. 3 let. b in fine CPC.</w:t>
      </w:r>
    </w:p>
    <w:p>
      <w:r>
        <w:rPr>
          <w:b/>
        </w:rPr>
        <w:t>E. 3.3</w:t>
      </w:r>
    </w:p>
    <w:p>
      <w:r>
        <w:t>En l'espèce, il ressort de l'arrêt attaqué que la tentative de conciliation dans la première procédure a échoué et qu'une autorisation de procéder a été délivrée aux demandeurs, ce que la Cour de céans a constaté dans son précédent arrêt du 8 novembre 2016 (arrêt 4A_357/2016 Faits B.a.). L'intimée ne soutient pas avoir soulevé dans la procédure précédente, ni en appel, ni devant le Tribunal fédéral, que la demande aurait dû être déclarée irrecevable pour défaut de comparution personnelle, seule la question de fond de la qualité pour agir des demandeurs ayant été thématisée par les parties. Force est donc de retenir qu'il y a autorité de la chose jugée quant à la régularité de la conciliation dans cette première procédure.</w:t>
      </w:r>
    </w:p>
    <w:p>
      <w:r>
        <w:t>Dès lors que les sociétés C.________ et B.________ SA sont représentées par les mêmes organes, soit les trois administrateurs L.________, M.________ et N.________, avec pouvoir de signature collective à deux, que ceux-ci ont comparu à l'audience de conciliation dans la première procédure en 2014 et qu'ils auraient pu transiger tant au nom de C.________ que de B.________ SA en ce qui concerne les deux appartements litigieux, il y a lieu d'admettre que la conciliation a été tentée entre les personnes qui auraient pu liquider le litige alors et que la répéter dans cette seconde action est dépourvu de sens. L'intention du législateur n'est certainement pas d'exiger de tenter deux fois la conciliation. Autre était évidemment la question du défaut de qualité pour agir, la société B.________ SA, membre de la société simple, n'étant pas indiquée comme partie demanderesse et, partant, le tribunal ne pouvant allouer leurs conclusions aux demandeurs; en tant que l'intimée met l'accent sur cet aspect, son grief tombe donc à faux.</w:t>
      </w:r>
    </w:p>
    <w:p>
      <w:r>
        <w:rPr>
          <w:b/>
        </w:rPr>
        <w:t>E. 4</w:t>
      </w:r>
    </w:p>
    <w:p>
      <w:r>
        <w:t>Le recours doit donc être admis, par substitution des motifs qui précèdent, et la cause doit être renvoyée à la cour cantonale pour décision sur la question de la prescription (question de fond), qu'elle n'avait pas eu besoin de traiter après avoir déclaré la demande irrecevable (question de procédure). Il s'ensuit qu'il est superflu d'examiner les autres griefs soulevés par les recourantes.</w:t>
      </w:r>
    </w:p>
    <w:p>
      <w:r>
        <w:t>Les frais judiciaires et les dépens doivent être mis à la charge de l'intimée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