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207/2020 vom 25. August 2020</w:t>
      </w:r>
    </w:p>
    <w:p>
      <w:r>
        <w:t>Bundesgericht, 2020-08-25, FR</w:t>
      </w:r>
    </w:p>
    <w:p>
      <w:r>
        <w:rPr>
          <w:b/>
        </w:rPr>
        <w:t xml:space="preserve">Quelle: </w:t>
      </w:r>
      <w:r>
        <w:t>https://mcp.opencaselaw.ch/entscheid/bger_4A_207_2020</w:t>
      </w:r>
    </w:p>
    <w:p>
      <w:r>
        <w:t>FR: TF 4A 207/2020 du 25 août 2020</w:t>
      </w:r>
    </w:p>
    <w:p>
      <w:r>
        <w:t>IT: TF 4A 207/2020 del 25 agosto 2020</w:t>
      </w:r>
    </w:p>
    <w:p>
      <w:pPr>
        <w:pStyle w:val="Heading2"/>
      </w:pPr>
      <w:r>
        <w:t>Regeste</w:t>
      </w:r>
    </w:p>
    <w:p>
      <w:r>
        <w:t>Indemnité de départ; interprétation du plan social; indemnité pour résiliation abusive, | Droit des contrats</w:t>
      </w:r>
    </w:p>
    <w:p>
      <w:pPr>
        <w:pStyle w:val="Heading2"/>
      </w:pPr>
      <w:r>
        <w:t>Erwägungen</w:t>
      </w:r>
    </w:p>
    <w:p>
      <w:r>
        <w:rPr>
          <w:b/>
        </w:rPr>
        <w:t>E. 1</w:t>
      </w:r>
    </w:p>
    <w:p>
      <w:r>
        <w:t>Le recours est dirigé contre un jugement final ( art. 90 LTF ), rendu en matière civile ( art. 72 al. 1 LTF ) et en dernière instance cantonale ( art. 75 al. 1 LTF ). Son auteur a pris part à l'instance précédente et succombé dans ses conclusions ( art. 76 al. 1 LTF ). La valeur litigieuse excède le minimum légal de 15'000 fr. prévu en matière de droit du travail (art. 51 al. 1 let. a et 74 al. 1 let. a LTF); le mémoire de recours a été introduit en temps utile (art. 100 al. 1 en relation avec l' art. 46 al. 1 let. a LTF et l'art. 1 al. 1 de l'ordonnance du Conseil fédéral sur la suspension des délais dans les procédures civiles et administratives pour assurer le maintien de la justice en lien avec le coronavirus [COVID-19; RS 173.110.4]).</w:t>
      </w:r>
    </w:p>
    <w:p>
      <w:r>
        <w:rPr>
          <w:b/>
        </w:rPr>
        <w:t>E. 2.1</w:t>
      </w:r>
    </w:p>
    <w:p>
      <w:r>
        <w:t>Le recours en matière civile peut être interjeté pour violation du droit fédéral ( art. 95 let. a LTF ). Le Tribunal fédéral applique ce droit d'office, hormis les droits fondamentaux ( art. 106 LTF ). Il n'est pas lié par l'argumentation des parties ( ATF 135 III 397 consid. 1.4) et il apprécie librement la portée juridique des faits.</w:t>
      </w:r>
    </w:p>
    <w:p>
      <w:r>
        <w:rPr>
          <w:b/>
        </w:rPr>
        <w:t>E. 2.2</w:t>
      </w:r>
    </w:p>
    <w:p>
      <w:r>
        <w:t>Le Tribunal fédéral statue sur la base des faits établis par l'autorité précédente ( art. 105 al. 1 LTF ). Il ne peut s'en écarter que si ces faits ont été établis de façon manifestement inexacte, ce qui correspond à la notion d'arbitraire au sens de l' art. 9 Cst. ( ATF 137 I 58 consid. 4.1.2). La partie recourante est autorisée à attaquer des constatations de fait ainsi irrégulières si la correction du vice est susceptible d'influer sur le sort de la cause (art. 97 al. 1 in fine LTF). 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sont réalisées. Si la critique ne satisfait pas à ces exigences, les allégations relatives à un état de fait qui s'écarterait de celui de la décision attaquée ne pourront pas être prises en considération ( ATF 140 III 16 consid. 1.3.1).</w:t>
      </w:r>
    </w:p>
    <w:p>
      <w:r>
        <w:rPr>
          <w:b/>
        </w:rPr>
        <w:t>E. 3</w:t>
      </w:r>
    </w:p>
    <w:p>
      <w:r>
        <w:t>Dans un premier grief, le recourant se plaint d'une constatation et d'une appréciation arbitraires des faits. Selon lui, les faits constatés ne permettent pas à l'autorité cantonale de déterminer la volonté réelle des parties, de sorte que les précédents juges ont à tort retenu une interprétation subjective de la clause litigieuse du plan social, cette dernière devant être interprétée objectivement.</w:t>
      </w:r>
    </w:p>
    <w:p>
      <w:r>
        <w:rPr>
          <w:b/>
        </w:rPr>
        <w:t>E. 3.1</w:t>
      </w:r>
    </w:p>
    <w:p>
      <w:r>
        <w:t>Il n'est pas contesté que le plan social résulte en l'espèce d'une proposition unilatérale de l'intimée, qu'il a été accepté tacitement par le recourant à l'issue de l'entretien de licenciement du 12 décembre 2016, qu'il est ainsi devenu partie intégrante de son contrat de travail et qu'il doit dès lors être interprété comme un contrat.</w:t>
      </w:r>
    </w:p>
    <w:p>
      <w:r>
        <w:rPr>
          <w:b/>
        </w:rPr>
        <w:t>E. 3.2</w:t>
      </w:r>
    </w:p>
    <w:p>
      <w:r>
        <w:t>Pour déterminer le sens d'une clause contractuelle, le juge doit dans un premier temps rechercher la réelle et commune intention des parties (interprétation subjective), le cas échéant empiriquement, sur la base d'indices ( ATF 132 III 626 consid. 3.1). Constituent des indices en ce sens non seulement la teneur des déclarations de volonté, mais encore le contexte général, soit toutes les circonstances permettant de découvrir la volonté réelle des parties, qu'il s'agisse de déclarations antérieures à la conclusion du contrat ou de faits postérieurs à celle-ci, en particulier le comportement ultérieur des parties, en tant qu'il est propre à établir quelle était leur conception au moment de conclure le contrat. Si elle aboutit, cette démarche conduit à une constatation de fait au sens de l' art. 105 LTF ( ATF 144 III 93 consid. 5.2.2; 131 III 606 consid. 4.1). Dans la mesure où le recourant conteste cette constatation, il lui incombe de démontrer son caractère manifestement inexact, c'est-à-dire arbitraire (cf. supra consid. 2.2). Le Tribunal fédéral se montre réservé en matière de constatations de fait et d'appréciation des preuves, vu le large pouvoir qu'il reconnaît en ce domaine aux autorités cantonales ( ATF 120 Ia 31 consid. 4b; 104 Ia 381 consid. 9). Il n'intervient du chef de l' art. 9 Cst. que si le juge du fait n'a manifestement pas compris le sens et la portée d'un moyen de preuve, a omis sans raisons objectives de tenir compte des preuves pertinentes ou a effectué, sur la base des éléments recueillis, des déductions insoutenables. L'arbitraire ne résulte pas du seul fait qu'une autre solution serait concevable, voire préférable ( ATF 137 III 226 consid. 4.2; 136 III 552 consid. 4.2). Ce n'est que s'il ne parvient pas à déterminer la volonté réelle et commune des parties ou s'il constate qu'une partie n'a pas compris la volonté exprimée par l'autre - ce qui ne ressort pas déjà du simple fait qu'elle l'affirme en procédure, mais doit résulter de l'administration des preuves -, que le juge recourra à l'interprétation normative (ou objective). Fondée sur le principe de la confiance, cette interprétation consiste à déterminer le sens qu'une partie pouvait et devait raisonnablement prêter à la manifestation de volonté de l'autre partie. Il s'agit là d'une question de droit que le Tribunal fédéral revoit librement ( ATF 144 III 93 consid. 5.2.2 et 5.2.3 et les arrêts cités).</w:t>
      </w:r>
    </w:p>
    <w:p>
      <w:r>
        <w:rPr>
          <w:b/>
        </w:rPr>
        <w:t>E. 3.3</w:t>
      </w:r>
    </w:p>
    <w:p>
      <w:r>
        <w:t>Lors de l'entretien de licenciement du 12 décembre 2016, l'intimée a fourni des explications au recourant quant au mécanisme de réduction de l'indemnité de départ. A l'issue de cet entretien, le recourant n'a pas indiqué avoir eu des doutes sur son sens ou sur celui des explications données. A réception du courrier du 16 août 2017 lui signifiant qu'en raison de la suspension de son délai de congé durant 180 jours, son indemnité serait réduite de 9,7 mois à 3,7 mois de salaire, le recourant s'est borné à arguer que cette réduction contrevenait au principe d'égalité de traitement, lequel empêchait de distinguer les employés travaillant sans interruption jusqu'au terme de leur préavis de ceux se trouvant dans une situation d'empêchement non fautif. Ne faisant état d'aucune difficulté d'interprétation de cette clause, il n'a pas non plus prétendu avoir compris que l'indemnité prévue par le plan social ne serait réduite que proportionnellement au rapport existant entre la durée de la suspension du délai de congé et l'ancienneté de l'employé. De l'avis des juges précédents, si telle avait été son interprétation, il l'aurait exprimée à ce moment-là. La cour d'appel a ainsi considéré que le recourant avait compris ladite clause dans le sens souhaité par l'intimée, à savoir qu'en cas de prolongation du délai de congé, dû par exemple à une incapacité de travail, l'indemnité de départ serait réduite à hauteur du salaire versé pendant la période de prolongation, de sorte qu'il n'y avait pas lieu de rechercher si cette clause pouvait ou devait être interprétée d'une autre manière en application du principe de la confiance.</w:t>
      </w:r>
    </w:p>
    <w:p>
      <w:r>
        <w:rPr>
          <w:b/>
        </w:rPr>
        <w:t>E. 3.4</w:t>
      </w:r>
    </w:p>
    <w:p>
      <w:r>
        <w:t>Quand bien même il ressort de l'arrêt attaqué que la clause insérée dans la proposition de plan social n'était pas explicitée - alors qu'elle pouvait soulever des difficultés d'interprétation - et que le projet de plan social présenté aux employés le 12 décembre 2016 se limitait à mentionner que l'indemnité de départ serait calculée en fonction de l'âge et de l'ancienneté, la cour d'appel n'a pas apprécié arbitrairement les faits en retenant que le recourant avait compris la clause litigieuse dans le sens souhaité par l'intimée. C'est à tort que le recourant prétend que ladite clause a été rajoutée uniquement pour lui. En admettant que l'intimée l'ait insérée de manière unilatérale dans le document de proposition de plan social remis au recourant, la cour cantonale ne retient pas par là qu'elle n'ait été rajoutée que pour lui. Au contraire, il ressort de l'arrêt querellé que les autres employés licenciés ont également été soumis à cette clause. En outre, c'est en pure perte que le recourant fait grief aux précédents juges d'avoir "simplement" ignoré le fait qu'il était "sous le choc" et se trouvait par la suite en incapacité de travail pour cause de maladie. En effet, ces éléments n'ont pas d'incidence sur la manière de déterminer comment le recourant a compris la clause litigieuse au moment de sa conclusion. Enfin, le recourant reproche aux magistrats genevois d'avoir pris en compte l'échange de courriers des mois d'août et septembre 2017, celui-ci étant postérieur au 12 décembre 2016 - date à laquelle la proposition de plan social a été acceptée par le recourant -, alors que le moment déterminant pour établir la volonté des parties est celui de la conclusion du contrat. Or, comme rappelé plus haut, des éléments postérieurs à la date de conclusion du contrat sont à même de constituer des indices propres à déterminer la volonté réelle des parties au moment de sa conclusion (cf. supra consid. 3.2). Il s'ensuit que les critiques du recourant tombent à faux.</w:t>
      </w:r>
    </w:p>
    <w:p>
      <w:r>
        <w:rPr>
          <w:b/>
        </w:rPr>
        <w:t>E. 4</w:t>
      </w:r>
    </w:p>
    <w:p>
      <w:r>
        <w:t>Dans un deuxième temps, le recourant fait grief à la cour cantonale d'avoir appliqué de manière contraire au droit le principe de la confiance dans le cadre de l'interprétation objective de ladite clause. Le grief est sans objet. En effet, la cour a constaté, au terme d'une appréciation des preuves exempte d'arbitraire (cf. supra consid. 3.3 et 3.4), la volonté réelle de l'intimée et sa bonne compréhension par le recourant. Dès lors que le résultat de l'interprétation subjective de la volonté des parties résiste au grief d'arbitraire, il est vain de critiquer, en invoquant une violation du principe de la confiance, la motivation subsidiaire de l'arrêt attaqué, fondée sur une interprétation objective.</w:t>
      </w:r>
    </w:p>
    <w:p>
      <w:r>
        <w:rPr>
          <w:b/>
        </w:rPr>
        <w:t>E. 5</w:t>
      </w:r>
    </w:p>
    <w:p>
      <w:r>
        <w:t>Dans un ultime grief, le recourant se plaint d'une appréciation arbitraire des faits concernant le motif réel du licenciement, ayant conduit la cour cantonale à nier son caractère abusif.</w:t>
      </w:r>
    </w:p>
    <w:p>
      <w:r>
        <w:rPr>
          <w:b/>
        </w:rPr>
        <w:t>E. 5.1</w:t>
      </w:r>
    </w:p>
    <w:p>
      <w:r>
        <w:t>Pour évaluer si un congé est abusif, il convient de se fonder sur son motif réel. Déterminer le motif d'une résiliation est une question de fait ( ATF 136 III 513 consid. 2.3). En revanche, savoir si le congé est abusif relève du droit (arrêts 4A_428/2019 du 16 juin 2020 consid. 4.1; 4A_714/2014 du 22 mai 2015 consid. 3.3).</w:t>
      </w:r>
    </w:p>
    <w:p>
      <w:r>
        <w:rPr>
          <w:b/>
        </w:rPr>
        <w:t>E. 5.2</w:t>
      </w:r>
    </w:p>
    <w:p>
      <w:r>
        <w:t>Sur la base des pièces produites, la cour cantonale retient que le licenciement du recourant est intervenu dans le cadre de la restructuration globale de l'intimée, en marge de laquelle il avait été décidé de supprimer un poste au sein de l'équipe du recourant. Certes, contrairement à ce qu'indiquait la lettre de licenciement, cette suppression n'a pas concerné le poste du recourant, mais celui de D.________, lequel a repris le poste de responsable laissé vacant par le recourant. La cour d'appel a considéré que cette divergence entre le motif invoqué et le motif réel est toutefois sans incidence, dans la mesure où ce dernier n'est pas condamnable. La démarche de l'intimée permettait d'atteindre l'objectif de réduction des coûts qui lui avait été assigné par la direction du groupe en réalisant une double économie; l'équipe du recourant comptant désormais un employé de moins ainsi qu'un responsable avec un salaire moins élevé. De l'avis des précédents juges, ce dernier touchait un salaire de 10'000 à 15'000 fr. moins élevé que le recourant, ce qui constitue une économie non négligeable, étant relevé que ce montant ne tenait selon toute vraisemblance pas compte de la différence de cotisations sociales, également à l'avantage de l'intimée.</w:t>
      </w:r>
    </w:p>
    <w:p>
      <w:r>
        <w:rPr>
          <w:b/>
        </w:rPr>
        <w:t>E. 5.3</w:t>
      </w:r>
    </w:p>
    <w:p>
      <w:r>
        <w:t>Ainsi, quoiqu'en dise le recourant, le simple fait que l'intimée ait déclaré dans son courrier du 2 octobre 2017 que le salaire de D.________ était "un peu moins élevé" que celui du recourant ne rend pas insoutenable la conclusion de la cour selon laquelle l'économie réalisée par l'intimée est "non négligeable". Que les faits constatés ne permettent pas de connaître le montant exact économisé par l'intimée n'y change rien. En outre, contrairement à ce que prétend le recourant, l'intimée ne se contredit pas en prétendant que le but du licenciement était de faire des économies tout en soutenant avoir recherché en vain des postes vacants correspondants à son profil avant de le licencier. Il ressort ainsi des faits constatés sans arbitraire par l'autorité précédente que le licenciement du recourant était motivé par des considérations économiques. En l'espèce, ce motif de congé s'inscrit dans un discours économique raisonnable et cohérent, de sorte qu'il ne saurait être qualifié d'abusif. Partant, l'ultime grief du recourant doit, lui aussi, être rejeté.</w:t>
      </w:r>
    </w:p>
    <w:p>
      <w:r>
        <w:rPr>
          <w:b/>
        </w:rPr>
        <w:t>E. 6</w:t>
      </w:r>
    </w:p>
    <w:p>
      <w:r>
        <w:t>En définitive, le recours est rejeté. Son auteur doit assumer les frais judiciaires ( art. 66 al. 1 LTF ), lesquels ne seront pas fixés selon le tarif réduit car les conclusions de la demande dépassaient 30'000 fr. ( art. 65 al. 4 let . c LTF). L'intimée n'ayant pas été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