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4A_207/2014 vom 19. Mai 2014</w:t>
      </w:r>
    </w:p>
    <w:p>
      <w:r>
        <w:t>Bundesgericht, 2014-05-19, FR</w:t>
      </w:r>
    </w:p>
    <w:p>
      <w:r>
        <w:rPr>
          <w:b/>
        </w:rPr>
        <w:t xml:space="preserve">Quelle: </w:t>
      </w:r>
      <w:r>
        <w:t>https://mcp.opencaselaw.ch/entscheid/bger_4A_207_2014</w:t>
      </w:r>
    </w:p>
    <w:p>
      <w:r>
        <w:t>FR: TF 4A_207/2014 du 19 mai 2014</w:t>
      </w:r>
    </w:p>
    <w:p>
      <w:r>
        <w:t>IT: TF 4A_207/2014 del 19 maggio 2014</w:t>
      </w:r>
    </w:p>
    <w:p>
      <w:pPr>
        <w:pStyle w:val="Heading2"/>
      </w:pPr>
      <w:r>
        <w:t>Erwägungen</w:t>
      </w:r>
    </w:p>
    <w:p>
      <w:r>
        <w:rPr>
          <w:b/>
        </w:rPr>
        <w:t>E. 1</w:t>
      </w:r>
    </w:p>
    <w:p>
      <w:r>
        <w:t>La Chambre des baux et loyers a estimé la valeur litigieuse à près de 30'000 fr. en se fondant sur le loyer convenu et la durée présumable de la procédure d'expulsion. Le Tribunal fédéral peut se rallier à cette appréciation. Le recours en matière civile est ouvert</w:t>
      </w:r>
    </w:p>
    <w:p>
      <w:r>
        <w:t>ratione valoris ( art. 74 al. 1 let. a LTF ).</w:t>
      </w:r>
    </w:p>
    <w:p>
      <w:r>
        <w:t>Pour le reste, les conditions de recevabilité de cette voie de droit sont réalisées (cf. art. 42, art. 45 al. 1, art. 72 al. 1, art. 75, art. 76 al. 1 et art. 90 LTF ). Demeure réservé l'examen de la recevabilité des griefs articulés dans le recours.</w:t>
      </w:r>
    </w:p>
    <w:p>
      <w:r>
        <w:rPr>
          <w:b/>
        </w:rPr>
        <w:t>E. 2</w:t>
      </w:r>
    </w:p>
    <w:p>
      <w:r>
        <w:t>Dans la première partie de son mémoire, la recourante présente sa propre version des faits. Elle reproche ensuite à la cour cantonale d'avoir apprécié les faits de façon arbitraire, mais ne motive pas son grief, se bornant à citer la loi et la jurisprudence. Dans cette mesure, le recours est irrecevable. En effet, le Tribunal fédéral statue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 Or, la partie recourante qui, sur la base de l' art. 97 al. 1 LTF , entend remettre en cause les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w:t>
      </w:r>
    </w:p>
    <w:p>
      <w:r>
        <w:rPr>
          <w:b/>
        </w:rPr>
        <w:t>E. 3</w:t>
      </w:r>
    </w:p>
    <w:p>
      <w:r>
        <w:t>La recourante ne remet pas en cause le jugement d'évacuation, mais la mesure d'exécution qui l'accompagne, à savoir l'autorisation délivrée aux intimés de requérir l'expulsion par la force publique dès l'entrée en force du jugement. Invoquant le principe de la proportionnalité et l'art. 30 al. 4 de la loi genevoise d'application du code civil suisse (LaCC/GE; RSG E 1 05), la recourante reproche à la cour cantonale de n'avoir pas admis que des motifs humanitaires justifiaient en l'espèce un sursis à l'exécution de l'évacuation. Elle est en outre d'avis que les intimés ont commis un abus de droit en concluant à l'exécution immédiate de l'expulsion.</w:t>
      </w:r>
    </w:p>
    <w:p>
      <w:r>
        <w:rPr>
          <w:b/>
        </w:rPr>
        <w:t>E. 3.1</w:t>
      </w:r>
    </w:p>
    <w:p>
      <w:r>
        <w:t>L'exécution forcée d'un jugement ordonnant l'expulsion d'un locataire est régie par le droit fédéral (cf. art. 335 ss CPC ). Comme l' art. 236 al. 3 CPC le permet sur requête de la partie qui a obtenu gain de cause, les autorités cantonales qui ont prononcé l'expulsion en l'espèce ont également ordonné les mesures d'exécution nécessaires, à savoir l'évacuation forcée prévue à l' art. 343 al. 1 let . d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 ATF 117 Ia 336 consid. 2b p. 339). Cette jurisprudence, rendue alors que la matière relevait encore du droit cantonal de procédure, reste valable (cf. FABIENNE HOHL, Procédure civile, tome II, 2</w:t>
      </w:r>
    </w:p>
    <w:p>
      <w:r>
        <w:t>e éd. 2010, n° 1474 p. 267).</w:t>
      </w:r>
    </w:p>
    <w:p>
      <w:r>
        <w:t>L'art. 30 al. 4 LaCC/GE concrétise le principe de la proportionnalité en cas d'évacuation d'un logement, en prévoyant que le Tribunal des baux et loyers peut, pour des motifs humanitaires, surseoir à l'exécution du jugement dans la mesure nécessaire pour permettre le relogement du locataire ou du fermier. A supposer que cette disposition ait encore une portée propre dans une matière réglée désormais par le CPC, force est de reconnaître, avec les juges précédents, qu'elle s'applique, selon ses propres termes, aux logements, c'est-à-dire aux habitations. En refusant de s'y référer lors de l'examen d'un éventuel sursis à l'évacuation de locaux commerciaux, la Chambre des baux et loyers n'a manifestement pas appliqué le droit cantonal de manière arbitraire, seul grief que la recourante pouvait soulever dans ce contexte (cf. ATF 136 I 241 consid. 2.4; 135 III 513 consid. 4.3 p. 521; 134 III 379 consid. 1.2 p. 382 s.).</w:t>
      </w:r>
    </w:p>
    <w:p>
      <w:r>
        <w:t>Au surplus, la cour cantonale n'a pas méconnu le principe de la proportionnalité en ordonnant l'exécution immédiate de l'évacuation. Dans un jugement rendu en mai 2008, la locataire a obtenu la prolongation de bail maximale, à savoir six ans ( art. 272b al. 1 CO ); l'échéance du contrat était ainsi reportée au 30 avril 2013. Ces cinq ans constituaient une durée suffisante pour parvenir à une solution afin que les associés et les employés du garage ne se retrouvent pas sans emploi du jour au lendemain. Or, durant ce délai, la recourante n'a cherché que tardivement de nouveaux locaux. En octobre 2012, six mois avant l'échéance, la locataire demandait encore l'octroi d'un délai jusqu'en 2018 pour quitter les lieux. Elle a lancé un projet de construction au début 2013 seulement et celui-ci, selon les propres explications de la recourante, devrait aboutir deux ans plus tard, le tout restant au conditionnel. En tout état de cause, la recourante ne peut donc invoquer à présent des motifs humanitaires liés aux conséquences économiques fâcheuses d'un arrêt de l'activité du garage. Et les autorités cantonales ne disposaient pas non plus d'indices sérieux et concrets allant dans le sens d'une évacuation spontanée à bref délai, qui auraient pu justifier l'octroi d'un sursis à l'exécution.</w:t>
      </w:r>
    </w:p>
    <w:p>
      <w:r>
        <w:rPr>
          <w:b/>
        </w:rPr>
        <w:t>E. 3.2</w:t>
      </w:r>
    </w:p>
    <w:p>
      <w:r>
        <w:t>Par ailleurs, les bailleurs n'ont en rien abusé de leur droit en requérant des mesures d'exécution en même temps que l'évacuation. Les intérêts respectifs des bailleurs et de la locataire ont déjà été pris en compte lors de l'examen de la prolongation de bail et de sa durée (cf. art. 272 al. 1 CO ). La demande d'exécution immédiate de l'expulsion ne saurait dès lors consacrer une disproportion manifeste des intérêts en présence, laquelle serait constitutive d'un abus de droit. Une absence d'intérêt à l'exercice de leur droit à l'exécution immédiate ou la poursuite d'un but étranger ne peut pas non plus être retenue contre les intimés, du simple fait qu'ils auraient accepté un départ en deux temps - en décembre 2013 et en avril 2014 - moyennant le paiement par la recourante des frais d'évacuation et de dépollution du terrain.</w:t>
      </w:r>
    </w:p>
    <w:p>
      <w:r>
        <w:rPr>
          <w:b/>
        </w:rPr>
        <w:t>E. 4</w:t>
      </w:r>
    </w:p>
    <w:p>
      <w:r>
        <w:t>Sur le vu de ce qui précède, le recours, manifestement mal fondé, doit être rejeté dans la mesure où il est recevable, selon la procédure prévue à l' art. 109 al. 2 let. a LTF . Partant, la requête d'effet suspensif déposée par la recourante devient sans objet.</w:t>
      </w:r>
    </w:p>
    <w:p>
      <w:r>
        <w:t>Les frais judiciaires sont mis à la charge de la recourante ( art. 66 al. 1 LTF ). Les intimés, qui ne sont pas représentés par un mandataire autorisé et ne font pas valoir de frais particuliers, ne peuvent prétendre à des dépens pour leur réponse à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