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4A_206/2021 vom 13. Juli 2021</w:t>
      </w:r>
    </w:p>
    <w:p>
      <w:r>
        <w:t>Bundesgericht, 2021-07-13, DE</w:t>
      </w:r>
    </w:p>
    <w:p>
      <w:r>
        <w:rPr>
          <w:b/>
        </w:rPr>
        <w:t xml:space="preserve">Quelle: </w:t>
      </w:r>
      <w:r>
        <w:t>https://mcp.opencaselaw.ch/entscheid/bger_4A_206_2021</w:t>
      </w:r>
    </w:p>
    <w:p>
      <w:r>
        <w:t>FR: TF 4A_206/2021 du 13 juillet 2021</w:t>
      </w:r>
    </w:p>
    <w:p>
      <w:r>
        <w:t>IT: TF 4A_206/2021 del 13 luglio 2021</w:t>
      </w:r>
    </w:p>
    <w:p>
      <w:pPr>
        <w:pStyle w:val="Heading2"/>
      </w:pPr>
      <w:r>
        <w:t>Erwägungen</w:t>
      </w:r>
    </w:p>
    <w:p>
      <w:r>
        <w:rPr>
          <w:b/>
        </w:rPr>
        <w:t>E. 1.1</w:t>
      </w:r>
    </w:p>
    <w:p>
      <w:r>
        <w:t>Das angefochtene Urteil hat eine Streitigkeit aus einer Zusatzversicherung zur sozialen Krankenversicherung gemäss Art. 7 ZPO zum Gegenstand.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vgl. Urteil 4A_232/2019 vom 18. November 2019 E. 1.1).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vgl. auch BGE 139 III 67 E. 1.2).</w:t>
      </w:r>
    </w:p>
    <w:p>
      <w:r>
        <w:t>Der Beschwerdeführer stellt zehn Rechtsbegehren, darunter Feststellungsbegehren, auf die bereits mangels Feststellungsinteresses nicht eingetreten werden kann, ferner neue Anträge, auf die wegen Neuheit nicht eingetreten werden kann ( Art. 99 Abs. 2 BGG ). Gleiches gilt für das Leistungsbegehren, soweit er es mit dem neuen Element ergänzt,</w:t>
      </w:r>
    </w:p>
    <w:p>
      <w:r>
        <w:t>zuzüglich 5% Verzugszinsen ab dem 27. März 2020 zu gewähren. Im Übrigen ist das Leistungsbegehren zulässig, weshalb insoweit auf die Beschwerde grundsätzlich einzutreten ist, allerdings unter Vorbehalt der rechtsgenügenden Beachtung der Begründungsanforderungen ( Art. 42 Abs. 2 und Art. 106 Abs. 2 BGG ; vgl. Erwägung 2).</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V 188 E. 2;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Neue Tatsachen und Beweismittel dürfen nur soweit vorgebracht werden, als erst der Entscheid der Vorinstanz dazu Anlass gibt ( Art. 99 Abs. 1 BGG ).</w:t>
      </w:r>
    </w:p>
    <w:p>
      <w:r>
        <w:rPr>
          <w:b/>
        </w:rPr>
        <w:t>E. 2.3</w:t>
      </w:r>
    </w:p>
    <w:p>
      <w:r>
        <w:t>Die Vorbringen des Beschwerdeführers erfüllen diese Anforderungen über weite Strecken nicht. Er erhebt keine hinreichend substanziierten Sachverhaltsrügen. Er schildert die Streitigkeit unter beliebiger Erweiterung und Abweichung von den tatsächlichen Feststellungen im angefochtenen Urteil, ohne substanziiert Ausnahmen von der Sachverhaltsbindung geltend zu machen. Die entsprechenden Vorbringen haben unbeachtet zu bleiben. Massgebend ist demnach einzig der vorinstanzlich festgestellte Sachverhalt.</w:t>
      </w:r>
    </w:p>
    <w:p>
      <w:r>
        <w:rPr>
          <w:b/>
        </w:rPr>
        <w:t>E. 3</w:t>
      </w:r>
    </w:p>
    <w:p>
      <w:r>
        <w:t>Der Beschwerdeführer verlangt von der Beschwerdegegnerin die Ausrichtung von 730 Krankentaggeldern à Fr. 164.20 (total Fr. 145'806.60 inkl. Zins zu 5% per 26. März 2020) für den Zeitraum vom 14. Februar 2012 bis 12. Februar 2014.</w:t>
      </w:r>
    </w:p>
    <w:p>
      <w:r>
        <w:rPr>
          <w:b/>
        </w:rPr>
        <w:t>E. 3.1</w:t>
      </w:r>
    </w:p>
    <w:p>
      <w:r>
        <w:t>Die Vorinstanz verwarf die Klage mit einer doppelten Begründung, wobei jede auf die vorgebrachten Eventualitäten eingeht und mit Subsidiärbegründungen bestärkt wird. Im Wesentlichen ist die Argumentation der Vorinstanz wie folgt zusammenzufassen:</w:t>
      </w:r>
    </w:p>
    <w:p>
      <w:r>
        <w:rPr>
          <w:b/>
        </w:rPr>
        <w:t>E. 3.1.1</w:t>
      </w:r>
    </w:p>
    <w:p>
      <w:r>
        <w:t>Zum einen begründete sie eingehend, dass dem Beschwerdeführer kein Anspruch aus der Kollektiv-Krankentaggeldversicherung zustehe. Nicht nur sei für den massgebenden Zeitraum zwischen dem 16. Dezember 2011 (Kündigung) und dem 31. Dezember 2011 (Ende des Arbeitsverhältnisses) keine Arbeitsunfähigkeit attestiert, es würde ohnehin auch an einer rechtzeitigen Schadensanzeige mangeln. Sodann sei kein Übertritt in die Einzelversicherung erfolgt. Selbst wenn ein solcher erfolgt wäre, hätte der Beschwerdeführer keine Leistungen daraus erhalten, da solche nur ausgerichtet würden, wenn Ansprüche auf ein Erwerbseinkommen bzw. Leistungen der Arbeitslosenversicherung gegeben seien, der Beschwerdeführer aber wegen seiner ab dem 17. Januar 2012 bestehenden Arbeitsunfähigkeit (fehlende Vermittlungsfähigkeit) keine Arbeitslosengelder habe beziehen können.</w:t>
      </w:r>
    </w:p>
    <w:p>
      <w:r>
        <w:rPr>
          <w:b/>
        </w:rPr>
        <w:t>E. 3.1.2</w:t>
      </w:r>
    </w:p>
    <w:p>
      <w:r>
        <w:t>Zum andern führte die Vorinstanz detailliert und unter Prüfung, jedoch Verwerfung aller Argumente des Beschwerdeführers aus, weshalb - selbst wenn davon auszugehen wäre, dass dem Beschwerdeführer ein Anspruch gegen die Beschwerdegegnerin zustünde -, dieser Anspruch im Zeitpunkt der Klageeinreichung in jedem Fall bereits verjährt gewesen wäre.</w:t>
      </w:r>
    </w:p>
    <w:p>
      <w:r>
        <w:rPr>
          <w:b/>
        </w:rPr>
        <w:t>E. 3.2</w:t>
      </w:r>
    </w:p>
    <w:p>
      <w:r>
        <w:t>Was der Beschwerdeführer dagegen vorbringt, vermag die zutreffende Beurteilung der Vorinstanz in keinerlei Hinsicht als bundesrechtswidrig auszuweisen. Er unterbreitet dem Bundesgericht in seiner (sechzigseitigen) Beschwerdeschrift unter Vermischung von Tatsachen und Recht ausführlich seine Sicht der Dinge, was alles geschehen sei und wie es sich zugetragen habe, wobei er teilweise auch auf das IV-Verfahren und das arbeitsrechtliche Verfahren gegen seine frühere Arbeitgeberin (Sachverhalt A.b) eingeht, die hier nicht Gegenstand bilden. Soweit er mit seinen Vorbringen vor Bundesgericht überhaupt gehört werden kann, gelingt es ihm trotz eingehender Darlegungen der monierten angeblichen Versäumnisse der Vorinstanz durchwegs nicht, eine Bundesrechtsverletzung durch die Vorinstanz aufzuzeigen. Die Erwägungen der Vorinstanz sind auch unter Berücksichtigung der Vorbringen in der Beschwerde zutreffend. In Anwendung von Art. 109 Abs. 3 BGG kann im Einzelnen darauf verwiesen werden.</w:t>
      </w:r>
    </w:p>
    <w:p>
      <w:r>
        <w:rPr>
          <w:b/>
        </w:rPr>
        <w:t>E. 4</w:t>
      </w:r>
    </w:p>
    <w:p>
      <w:r>
        <w:t>Die Beschwerde ist im Verfahren nach Art. 109 Abs. 2 lit. a BGG abzuweisen, soweit darauf eingetreten werden kann. Das Gesuch um unentgeltliche Rechtspflege für das bundesgerichtliche Verfahren ist bereits wegen Aussichtslosigkeit der Beschwerde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