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4A_206/2009 vom 27. Januar 2010</w:t>
      </w:r>
    </w:p>
    <w:p>
      <w:r>
        <w:t>Bundesgericht, 2010-01-27, DE</w:t>
      </w:r>
    </w:p>
    <w:p>
      <w:r>
        <w:rPr>
          <w:b/>
        </w:rPr>
        <w:t xml:space="preserve">Quelle: </w:t>
      </w:r>
      <w:r>
        <w:t>https://mcp.opencaselaw.ch/entscheid/bger_4A_206_2009</w:t>
      </w:r>
    </w:p>
    <w:p>
      <w:r>
        <w:t>FR: TF 4A_206/2009 du 27 janvier 2010</w:t>
      </w:r>
    </w:p>
    <w:p>
      <w:r>
        <w:t>IT: TF 4A_206/2009 del 27 gennaio 2010</w:t>
      </w:r>
    </w:p>
    <w:p>
      <w:pPr>
        <w:pStyle w:val="Heading2"/>
      </w:pPr>
      <w:r>
        <w:t>Erwägungen</w:t>
      </w:r>
    </w:p>
    <w:p>
      <w:r>
        <w:rPr>
          <w:b/>
        </w:rPr>
        <w:t>E. 37</w:t>
      </w:r>
    </w:p>
    <w:p>
      <w:r>
        <w:t>III 330 E. 2 S. 334);</w:t>
      </w:r>
    </w:p>
    <w:p>
      <w:r>
        <w:t>dass die Beschwerdeführerin geltend macht, indem das Konkursamt im Schreiben vom 19. September 2008 ausgeführt habe, drei Gläubiger hätten die Abtretung verlangt, wobei die Zessionserklärungen (noch) nicht ausgestellt werden könnten, habe es implizit zu erkennen gegeben, dass die Konkursmasse nicht in den Prozess eintrete;</w:t>
      </w:r>
    </w:p>
    <w:p>
      <w:r>
        <w:t>dass die Beschwerdeführerin nicht mit Aktenhinweisen dartut, bereits vor der Vorinstanz behauptet zu haben, das Konkursamt habe mit dem Schreiben vom 19. September 2008 zum Ausdruck bringen wollen, die Konkursmasse werde nicht in den Prozess eintreten, weshalb offen bleiben kann, ob die Äusserung des Konkursamts nach Treu und Glauben so hätte verstanden werden dürfen;</w:t>
      </w:r>
    </w:p>
    <w:p>
      <w:r>
        <w:t>dass die Beschwerdeführerin weder eine hinreichend begründete Sachverhaltsrüge erhebt noch rechtsgenüglich darlegt, inwiefern der angefochtene Entscheid gestützt auf den darin festgestellten Sachverhalt Recht verletzt, weshalb die Beschwerde insgesamt als nicht hinreichend begründet erscheint ( Art. 42 Abs. 2 BGG ) und darauf im Verfahren nach Art. 108 Abs. 1 lit. a BGG nicht einzutreten ist;</w:t>
      </w:r>
    </w:p>
    <w:p>
      <w:r>
        <w:t>dass dem Ausgang des Verfahrens entsprechend die Gerichtskosten der Beschwerdeführerin aufzuerlegen sind ( Art. 66 Abs. 1 BGG ), und die Beschwerdegegner keinen Anspruch auf eine Parteientschädigung haben, da ihnen aus dem bundesgerichtlichen Verfahren kein Aufwand erwachsen ist;</w:t>
      </w:r>
    </w:p>
    <w:p>
      <w:r>
        <w:t>erkennt die Präsidentin:</w:t>
      </w:r>
    </w:p>
    <w:p>
      <w:r>
        <w:t>1.</w:t>
      </w:r>
    </w:p>
    <w:p>
      <w:r>
        <w:t>Auf die Beschwerden wird nicht eingetreten.</w:t>
      </w:r>
    </w:p>
    <w:p>
      <w:r>
        <w:t>2.</w:t>
      </w:r>
    </w:p>
    <w:p>
      <w:r>
        <w:t>Die Gerichtskosten von Fr. 3'000.-- werden der Beschwerdeführerin auferlegt.</w:t>
      </w:r>
    </w:p>
    <w:p>
      <w:r>
        <w:t>3.</w:t>
      </w:r>
    </w:p>
    <w:p>
      <w:r>
        <w:t>Dieses Urteil wird den Parteien und dem Handelsgericht des Kantons Bern schriftlich mitgeteilt.</w:t>
      </w:r>
    </w:p>
    <w:p>
      <w:r>
        <w:t>Lausanne, 27. Januar 2010</w:t>
      </w:r>
    </w:p>
    <w:p>
      <w:r>
        <w:t>Im Namen der I. zivilrechtlichen Abteilung</w:t>
      </w:r>
    </w:p>
    <w:p>
      <w:r>
        <w:t>des Schweizerischen Bundesgerichts</w:t>
      </w:r>
    </w:p>
    <w:p>
      <w:r>
        <w:t>Die Präsidentin: Die Gerichtsschreiberin:</w:t>
      </w:r>
    </w:p>
    <w:p>
      <w:r>
        <w:t>Klett Feldmann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