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4A_205/2024 vom 5. September 2024</w:t>
      </w:r>
    </w:p>
    <w:p>
      <w:r>
        <w:t>Bundesgericht, 2024-09-05, DE</w:t>
      </w:r>
    </w:p>
    <w:p>
      <w:r>
        <w:rPr>
          <w:b/>
        </w:rPr>
        <w:t xml:space="preserve">Quelle: </w:t>
      </w:r>
      <w:r>
        <w:t>https://mcp.opencaselaw.ch/entscheid/bger_4A_205_2024</w:t>
      </w:r>
    </w:p>
    <w:p>
      <w:r>
        <w:t>FR: TF 4A_205/2024 du 5 septembre 2024</w:t>
      </w:r>
    </w:p>
    <w:p>
      <w:r>
        <w:t>IT: TF 4A_205/2024 del 5 settembre 2024</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Vor der Vorinstanz war umstritten, ob der Beschwerdeführer über die bis zum 31. Juli 2021 entrichteten Leistungen hinaus Anspruch auf weitere Taggelder habe. Die Beschwerdegegnerin bestritt dies, da unter anderem gestützt auf das Gutachten des C.________-Zentrums von einer vollen Arbeitsfähigkeit in einer leidensadapierten Tätigkeit auszugehen sei. Die Vorinstanz ging im angefochtenen Entscheid auf die verschiedenen von den Parteien vorgebrachten medizinischen Unterlagen ein und kam in einer Beweiswürdigung zum Schluss, dass auf das Ergebnis des Gutachtens des C.________-Zentrums abzustellen sei. Damit erweise sich der umstrittene Sachverhalt betreffend die behauptete, nach dem 31. Juli 2021 weiterhin bestehende (vollständige) Arbeitsunfähigkeit in sämtlichen Tätigkeiten als rechtsgenüglich abgeklärt. Diese Beweiswürdigung bezüglich der vollen Arbeitsfähigkeit stellt der Beschwerdeführer vor Bundesgericht nicht in Frage.</w:t>
      </w:r>
    </w:p>
    <w:p>
      <w:r>
        <w:t>Er beruft sich vielmehr darauf, dass die Beschwerdegegnerin gleichwohl die Taggeldleistungen nicht ohne Weiteres hätte einstellen dürfen. Er habe bereits vorprozessual geltend gemacht, dass die Erwerbseinbusse anhand der konkreten Verhältnisse festzustellen sei. Er habe vor der Vorinstanz darauf hingewiesen, dass er angesichts seiner Ausbildung, seiner unzureichenden Deutschkenntnisse sowie seines Alters keine reellen Chancen habe, die ihm verbleibende Arbeitsfähigkeit in einen Erwerb umzusetzen. All dies habe die Vorinstanz ausser Acht gelassen. Das Gericht habe die konkrete Ausgangslage zu würdigen, und die anwendbaren AVB (Art. A2 Abs. 3 AVB) gingen von demjenigen Arbeitsmarkt aus, welcher ihm tatsächlich zugänglich sei. Es sei ausgeschlossen, dass er ein taggeldauschliessendes Einkommen erzielen könne. Indem die Vorinstanz ein solches unterstelle, lege sie die AVB der Beschwerdegegnerin unzutreffend aus und verletze den hier anwendbaren Art. 61 aVVG zur Schadensminderungspflicht. Es sei auch an der Beschwerdegegnerin gelegen, Angaben zu dem vom Beschwerdeführer konkret erzielbaren Lohn zu machen, da dies eine leistungsaufhebende Tatsache darstelle ( Art. 8 ZGB ).</w:t>
      </w:r>
    </w:p>
    <w:p>
      <w:r>
        <w:rPr>
          <w:b/>
        </w:rPr>
        <w:t>E. 3.2</w:t>
      </w:r>
    </w:p>
    <w:p>
      <w:r>
        <w:t>Die Beschwerdegegnerin stützt sich für ihre Leistungseinstellung auf die vertragliche Bestimmung von Art. D4 AVB. Danach kann sie als Versicherung bei langer Dauer der Arbeitsunfähigkeit verlangen, dass die versicherte Person ihre bisherige Tätigkeit anpasst oder eine andere Tätigkeit annimmt, wenn die versicherte Person imstande ist, eine zumutbare Tätigkeit in einem anderen Beruf oder Aufgabenbereich auszuüben. Die Versicherung muss die versicherte Person dazu schriftlich auffordern und ihr eine angemessene Frist zur beruflichen Umorientierung ansetzen. Lässt die versicherte Person diese Frist schuldhaft verstreichen, so kann die Versicherung ihre Leistungen einstellen.</w:t>
      </w:r>
    </w:p>
    <w:p>
      <w:r>
        <w:t>Die Vorinstanz prüfte, ob die darin statuierten Voraussetzungen erfüllt seien. Dabei stellte sie auf den im C.________-Gutachten ermittelten Befund ab, dass der Beschwerdeführer in einer leidensadapierten Tätigkeit voll arbeitsfähig ist (oben Erwägung 3.1). Entsprechend ging sie davon aus, dass der Beschwerdeführer unter den gegebenen Umständen eine zumutbare Tätigkeit in einem anderen Beruf oder Aufgabenbereich gemäss Art. D4 AVB ausüben kann. Weiter prüfte sie, ob die bisherige Tätigkeit des Beschwerdeführers bei seiner damaligen Arbeitgeberin angepasst werden könne. Sie verneinte dies, weil der Beschwerdeführer nach dem damaligen Wissensstand der Beschwerdegegnerin bereits in gekündigter Stellung gestanden habe und ihm seitens seiner damaligen Arbeitgeberin keine angepasste Tätigkeit angeboten werden könne. In der Folge untersuchte sie, ob dem Beschwerdeführer eine angemessene Frist im Sinne von Art. D4 AVB gesetzt wurde, um eine angepasste Tätigkeit in einem anderen Aufgabenbereich zu suchen. Auch das bejahte sie.</w:t>
      </w:r>
    </w:p>
    <w:p>
      <w:r>
        <w:t>Inwiefern die Vorinstanz damit unter den gegebenen Umständen die anwendbaren AVB bundesrechtwidrig angewandt hätte, legt der Beschwerdeführer nicht hinreichend dar (Erwägung 2.1). Namentlich macht er zu Recht nicht geltend, dass die Frist zur beruflichen Umorientierung unangemessen gewesen wäre. Entgegen dem Beschwerdeführer hat die Vorinstanz auch seine Vorbringen bezüglich der konkreten Verhältnisse im Sinne der Zumutbarkeit des Berufswechsels im Entscheid ausdrücklich wiedergegeben (angefochtener Entscheid, Erwägungen A.d und B.c) und damit seine reellen Erwerbschancen im Entscheid berücksichtigt.</w:t>
      </w:r>
    </w:p>
    <w:p>
      <w:r>
        <w:rPr>
          <w:b/>
        </w:rPr>
        <w:t>E. 3.3</w:t>
      </w:r>
    </w:p>
    <w:p>
      <w:r>
        <w:t>Auch die Rüge des fehlenden Einkommensvergleichs verfängt nicht: Die Vorinstanz folgte dem Standpunkt der Beschwerdegegnerin und stützte sich auf die Erkenntnisse des Gutachtens des C.________-Zentrums ab. Sie erklärte ausdrücklich, dass die Frage der " (vollständigen) Arbeitsunfähigkeit in sämtlichen Tätigkeiten" rechtsgenügend geklärt sei. Sie ging dabei mit dem C.________-Gutachten von einer vollständigen Arbeitsfähigkeit des Beschwerdeführers in einer adapierten Tätigkeit aus und wies den Anspruch auf weitere Taggelder ab. Die Vorinstanz kam mithin zum Beweisergebnis, dass der Beschwerdeführer aufgrund seiner konkreten Situation in der Lage sei, einer das Taggeld ausschliessenden Tätigkeit nachzugehen. Inwiefern dieser Schluss der Vorinstanz geradezu offensichtlich unrichtig wäre, sodass das Bundesgericht in die Würdigung der Vorinstanz eingreifen müsste, legt der Beschwerdeführer nicht hinreichend dar (Erwägung 2.1). Da die Vorinstanz zu einem Beweisergebnis kam, ist die Beweislastverteilung - welche die Folgen der Beweislosigkeit regelt - gegenstandslos. Die Rüge einer Verletzung von Art. 8 ZGB geht entsprechend ins Leere. Ebensowenig vermag der Beschwerdeführer aufzuzeigen, inwiefern der Vorinstanz eine Verletzung von Art. 61 aVVG vorzuwerfen wäre, wenn sie keinen ausdrücklichen Einkommensvergleich vornahm, sondern aufgrund der gegebenen Umstände dem Beschwerdeführer ein taggeldausschliessendes Einkommen unterstellte, zumal er - wie die Beschwerdegegnerin unwiderlegt vorbringt - den Einkommensvergleich im vorinstanzlichen Verfahren nicht angerufen hat.</w:t>
      </w:r>
    </w:p>
    <w:p>
      <w:r>
        <w:rPr>
          <w:b/>
        </w:rPr>
        <w:t>E. 4</w:t>
      </w:r>
    </w:p>
    <w:p>
      <w:r>
        <w:t>Die Beschwerde ist nach dem Gesagten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