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4A_205/2021 vom 20. Dezember 2021</w:t>
      </w:r>
    </w:p>
    <w:p>
      <w:r>
        <w:t>Bundesgericht, 2021-12-20, FR</w:t>
      </w:r>
    </w:p>
    <w:p>
      <w:r>
        <w:rPr>
          <w:b/>
        </w:rPr>
        <w:t xml:space="preserve">Quelle: </w:t>
      </w:r>
      <w:r>
        <w:t>https://mcp.opencaselaw.ch/entscheid/bger_4A_205_2021</w:t>
      </w:r>
    </w:p>
    <w:p>
      <w:r>
        <w:t>FR: TF 4A_205/2021 du 20 décembre 2021</w:t>
      </w:r>
    </w:p>
    <w:p>
      <w:r>
        <w:t>IT: TF 4A_205/2021 del 20 dicembre 2021</w:t>
      </w:r>
    </w:p>
    <w:p>
      <w:pPr>
        <w:pStyle w:val="Heading2"/>
      </w:pPr>
      <w:r>
        <w:t>Erwägungen</w:t>
      </w:r>
    </w:p>
    <w:p>
      <w:r>
        <w:rPr>
          <w:b/>
        </w:rPr>
        <w:t>E. 1.1</w:t>
      </w:r>
    </w:p>
    <w:p>
      <w:r>
        <w:t>Lors d'une fusion de sociétés, la substitution de partie s'opère de plein droit en vertu du droit fédéral (cf. art. 22 al. 1 de la loi fédérale du 3 octobre 2003 sur la fusion, la scission, la transformation et le transfert de patrimoine [LFus; RS 221.301]; FABIENNE HOHL, Procédure civile, tome I, 2e éd. 2016, n. 1134 p. 186). Le consentement de l'autre partie n'est pas nécessaire (s'agissant de la procédure devant le Tribunal fédéral, cf. art. 17 al. 3 de la loi de procédure civile fédérale du 4 décembre 1947 [PCF; RS 273], applicable par analogie en vertu du renvoi de l' art. 71 LTF , la fusion constituant un cas de succession universelle au sens de cette disposition [ ATF 106 II 346 consid. 1; arrêts 2C_895/2008 du 9 juin 2009 consid. 1.1; 4C.385/2005 du 31 janvier 2006 consid. 1.2.1]).</w:t>
      </w:r>
    </w:p>
    <w:p>
      <w:r>
        <w:t>En l'occurrence, B.________ a été absorbée par A.________ SA. La substitution de partie par suite de fusion est intervenue de plein droit et doit être prise en considération d'office. Le rubrum du présent arrêt est dès lors modifié en conséquence. Pour des motifs purement rédactionnels, l'appellation B.________ continuera d'être employée dans les considérants qui suivent.</w:t>
      </w:r>
    </w:p>
    <w:p>
      <w:r>
        <w:rPr>
          <w:b/>
        </w:rPr>
        <w:t>E. 1.2</w:t>
      </w:r>
    </w:p>
    <w:p>
      <w:r>
        <w:t>Les demandeurs ont succombé dans leurs conclusions et ont donc qualité pour recourir ( art. 76 al. 1 LTF ). Ils ont agi en temps utile ( art. 46 al. 1 let. a LTF ) et dans la forme prescrite par la loi ( art. 42 LTF ) à l'encontre d'un arrêt final ( art. 90 LTF ) rendu en matière civile ( art. 72 al. 1 LTF ) par une autorité cantonale de dernière instance, statuant sur recours ( art. 75 LTF ) dans une affaire pécuniaire dont la valeur litigieuse atteint le seuil de 15'000 fr. requis en matière de droit du travail ( art. 74 al. 1 let. a LTF ). Partant, le recours est recevable sur le principe.</w:t>
      </w:r>
    </w:p>
    <w:p>
      <w:r>
        <w:rPr>
          <w:b/>
        </w:rPr>
        <w:t>E. 2.1</w:t>
      </w:r>
    </w:p>
    <w:p>
      <w:r>
        <w:t>Le recours en matière civile peut être exercé pour violation du droit fédéral ( art. 95 let. a LTF ).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L' art. 42 al. 2 LTF exige par ailleurs que le recourant discute les motifs de la décision entreprise et indique précisément en quoi il considère que l'autorité précédente a méconnu le droit ( ATF 142 I 99 consid. 1.7.1; 142 III 364 consid. 2.4; 140 III 86 consid. 2). Une exigence de motivation accrue prévaut pour la violation des droits constitutionnels tels que la prohibition de l'arbitraire: le principe d'allégation ancré à l' art. 106 al. 2 LTF impose au recourant d'indiquer quel droit constitutionnel a été violé en expliquant de façon circonstanciée en quoi consiste la violation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ci-dessus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Il s'ensuit que les faits que les recourants prétendent rappeler dans leur mémoire ne seront pas pris en compte dans la mesure où ils s'écartent de ceux figurant dans l'arrêt cantonal. Quant à ceux que les recourants voudraient voir retenus alors qu'ils n'ont pas été allégués, on ne discerne guère quelle violation du droit fédéral pourrait être reprochée à la cour cantonale et les recourants ne l'expliquent du reste pas.</w:t>
      </w:r>
    </w:p>
    <w:p>
      <w:r>
        <w:rPr>
          <w:b/>
        </w:rPr>
        <w:t>E. 3</w:t>
      </w:r>
    </w:p>
    <w:p>
      <w:r>
        <w:t>Le recours comporte deux volets. En premier lieu, B.________ se plaint du rejet de sa demande en paiement, liée à la prétendue violation par le défendeur de la clause de prohibition de concurrence figurant dans le contrat de travail. Secondement, tous les recourants fustigent le refus de la cour cantonale d'entrer en matière sur la conclusion des demandeurs 2 à 4 tendant à ce que seuls les frais et dépens relatifs à leurs propres conclusions soient mis à leur charge.</w:t>
      </w:r>
    </w:p>
    <w:p>
      <w:r>
        <w:rPr>
          <w:b/>
        </w:rPr>
        <w:t>E. 4.1</w:t>
      </w:r>
    </w:p>
    <w:p>
      <w:r>
        <w:t>Le contrat de travail conclu avec l'intimé est assorti d'une clause de prohibition de concurrence au sens des art. 340 à 340c CO. En cas de violation d'une telle clause, une peine conventionnelle est prévue (art. 160 à 163 CO; cf. également art. 340b al. 2 CO ).</w:t>
      </w:r>
    </w:p>
    <w:p>
      <w:r>
        <w:t>La cour cantonale a rejeté la demande en paiement de B.________ fondée sur cette clause par une motivation en cascade prenant en compte plusieurs hypothèses.</w:t>
      </w:r>
    </w:p>
    <w:p>
      <w:r>
        <w:t>Tout d'abord, a-t-elle expliqué, la clause de prohibition de concurrence n'est pas valable compte tenu de la nature de l'activité exercée par l'intimé et du rapport personnel existant avec les clients dont il s'occupait: l'intimé connaissait certains clients depuis plus de seize ans, travaillait de manière assez indépendante et avait créé avec eux un lien de confiance. C'est en raison de cette confiance particulière que les clients qui avaient été interrogés comme témoins l'avaient suivi lorsqu'il était parti. Il ne les avait pas démarchés. Le maintien au poste d'administrateur de la PPE V.________ était une preuve supplémentaire du lien de confiance existant entre l'intimé et les clients, la communauté des copropriétaires ayant expressément souhaité qu'il poursuive son mandat après son départ de B.________.</w:t>
      </w:r>
    </w:p>
    <w:p>
      <w:r>
        <w:t>A supposer que la clause de non-concurrence fût applicable, rien n'indiquait quel client elle était susceptible de concerner. En effet, l'intimé avait déjà une longue carrière au moment où il était entré au service de B.________. Il était notamment le mandataire et l'homme de confiance de N.________ et des sociétés du groupe éponyme dès 1980. Il avait ensuite travaillé, dès 1990, pour G.________ SA avant de rejoindre, en juin 1999, H.________ SA, laquelle fut ensuite reprise par B.________. Cela étant, la clause de non-concurrence ne pouvait concerner les clients qui étaient déjà les siens avant qu'il ne rejoigne la H.________ SA. Elle pourrait s'appliquer à ceux qui étaient déjà clients de ladite fiduciaire lors de son arrivée en 1999 et à ceux qu'elle a acquis par la suite. Cela étant, l'on ne savait rien de leur identité. B.________ aurait dû alléguer et établir la clientèle tombant sous le coup de la clause de prohibition de concurrence, alors qu'elle s'était limitée à fournir une liste de clients prétendument détournés lors du départ de l'intimé en 2006.</w:t>
      </w:r>
    </w:p>
    <w:p>
      <w:r>
        <w:t>Du reste, si les noms des clients concernés par la clause de non-concurrence en question avaient été allégués, encore aurait-il fallu démontrer que l'intimé les avait détournés. Et cette preuve n'avait pas été apportée.</w:t>
      </w:r>
    </w:p>
    <w:p>
      <w:r>
        <w:t>Enfin, la cour cantonale a considéré que, en tout état de cause, B.________ n'avait pas établi les bases de calcul de la peine conventionnelle qu'elle réclamait à l'intimé. Cette peine correspondait non pas à un montant fixe, mais au " 100 % de la moyenne annuelle des honoraires facturés pendant les deux dernières années aux clients en cause ". Or, la quotité des honoraires facturés à chacun des clients prétendument détournés était inconnue. Pour tous ces motifs, la demande était vouée au rejet.</w:t>
      </w:r>
    </w:p>
    <w:p>
      <w:r>
        <w:rPr>
          <w:b/>
        </w:rPr>
        <w:t>E. 4.2</w:t>
      </w:r>
    </w:p>
    <w:p>
      <w:r>
        <w:t>Selon l' art. 340 al. 2 CO , la prohibition de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r>
        <w:t>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dans ce cas, en effet, la connaissance que l'employé possède de la clientèle ne lui procure pas, à elle seule, le moyen de rompre ou de distendre le lien existant entre l'employeur et sa clientèle ( ATF 78 II 39 consid. 1 et les arrêts cités).</w:t>
      </w:r>
    </w:p>
    <w:p>
      <w:r>
        <w:t>Ultérieurement, la jurisprudence a eu l'occasion de se pencher sur la situation inverse, à savoir le cas où une relation personnelle était établie entre le client et l'employé lui-même, en l'occurrence un dentiste; il a été conclu que,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(arrêt 4C.100/2006 du 13 juillet 2007 consid. 2.6). Dans une affaire mettant en cause un gestionnaire de fortune au sein d'une banque, le Tribunal fédéral a estimé, à l'instar de la cour cantonale, que ses prestations étaient caractérisées par une forte composante personnelle qui contrecarrait la validité de la clause d'interdiction de concurrence (arrêt 4A_116/2018 du 28 mars 2019 consid. 4.3). S'agissant d'un conseiller fiscal, le Tribunal fédéral s'est défendu de dénier, de manière générale, toute validité à une interdiction de concurrence dans ce type de cas (arrêts 4A_340/2011 du 13 septembre 2011 consid. 4.4.4.1; 4A_209/2008 du 31 juillet 2008 consid. 2.1). Cela étant, il n'existe aucune profession pour laquelle une interdiction de concurrence soit absolument et dans tous les cas exclue. Le juge doit apprécier les circonstances de chaque cas ( ATF 78 II 39 consid. 1; arrêt 4C.100/2006 précité consid. 2.3). Tout au plus peut-on dire que, s'agissant des professions libérales, la facette personnelle de la relation au client revêt une importance toute particulière ( ATF 78 II 39 consid. 1; 56 II 439 consid. 2; arrêt 4C.100/2006 précité consid. 2.6).</w:t>
      </w:r>
    </w:p>
    <w:p>
      <w:r>
        <w:t>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 art.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w:t>
      </w:r>
    </w:p>
    <w:p>
      <w:r>
        <w:t>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w:t>
      </w:r>
    </w:p>
    <w:p>
      <w:r>
        <w:t>Pour admettre une telle situation - qui exclut la clause de prohibition de concurrence - il faut que l'employé fournisse au client une prestation qui se caractérise par une forte composante personnelle ( ATF 138 III 67 consid. 2.2.1; arrêt 4A_116/2018 précité consid. 4.1). Dire si tel est le cas dépend des circonstances, dont la constatation relève du fait et qui lient le Tribunal fédéral ( art. 105 al. 1 LTF ).</w:t>
      </w:r>
    </w:p>
    <w:p>
      <w:r>
        <w:rPr>
          <w:b/>
        </w:rPr>
        <w:t>E. 4.3</w:t>
      </w:r>
    </w:p>
    <w:p>
      <w:r>
        <w:t>Les recourants soutiennent que la clause de prohibition de concurrence est valable. A les croire, l'activité déployée par l'intimé au service de B.________ se limitait au bouclement de la comptabilité et à l'établissement de déclarations d'impôt. Les recourants dépeignent cette activité comme celle " que toute fiduciaire offr (irait) à sa clientèle ", ce qui exclurait " des prestations particulières qui dépend (r) aient essentiellement d (es) propres capacités professionnelles " de l'intimé. Certes, selon les cas, ces tâches peuvent revêtir un caractère relativement simple et répétitif. Mais de toute évidence, les prestations de l'intimé ne se réduisaient pas à cela. Ni la Cour civile, ni la Cour d'appel cantonale ne se sont laissé convaincre du contraire. A juste titre. L'autorité précédente a constaté que l'intimé était notamment le mandataire et l'homme de confiance du ressortissant de Y.________, N.________ ainsi que de sociétés du groupe éponyme dès 1980. Les recourants ne sauraient sérieusement prétendre qu'aucune expertise particulière n'était à cet égard nécessaire et qu'un lien de confiance, voire de confidence, n'y avait pas son importance. Comme s'il n'existait qu'une manière de présenter des chiffres et comme si le choix importait peu.</w:t>
      </w:r>
    </w:p>
    <w:p>
      <w:r>
        <w:t>S'agissant du rapport que l'intimé avait établi avec les clients, les recourants font valoir qu'il n'avait rien d'exceptionnel, contrairement à ce que la cour cantonale a retenu. C'est faire abstraction des différents témoins évoqués dans l'arrêt attaqué, lesquels ont fait état du lien de confiance qu'ils avaient tissé avec l'intimé et du fait que la personne de l'employeur était, pour eux, reléguée à l'arrière plan, à tel point que celle-ci leur était totalement indifférente. Nul arbitraire ne se loge dès lors dans les faits constatés dans la décision entreprise.</w:t>
      </w:r>
    </w:p>
    <w:p>
      <w:r>
        <w:t>Enfin, les recourants soutiennent que la cour cantonale aurait mal appliqué la jurisprudence fédérale. Ils ne peuvent toutefois être suivis. Le juge doit apprécier les circonstances de chaque cas et, à en juger par les considérants qu'elle y a consacrés, l'autorité précédente ne s'est pas épargnée cet exercice.</w:t>
      </w:r>
    </w:p>
    <w:p>
      <w:r>
        <w:t>Les recourants tirent encore argument, de manière très générale, du principe de la bonne foi, de la fidélité contractuelle, de la sécurité juridique et de la prévisibilité, tous éléments sur lesquels la cour cantonale s'est exprimée sans que les recourants ne pipent mot de ses considérations. Le Tribunal fédéral peut dès lors se dispenser de traiter ce moyen. Pour les mêmes motifs, il en fera de même s'agissant de l'argument tiré de la sentence arbitrale rendue dans un litige parallèle opposant les recourants à J.________.</w:t>
      </w:r>
    </w:p>
    <w:p>
      <w:r>
        <w:t>En conclusion, c'est à bon droit que la cour cantonale a jugé que la clause de prohibition de concurrence n'était pas valable.</w:t>
      </w:r>
    </w:p>
    <w:p>
      <w:r>
        <w:t>Dans ces conditions, point n'est besoin d'examiner les griefs que les recourants soulèvent contre les motifs dont l'autorité précédente s'est servie pour étayer, à titre subsidiaire, le rejet des prétentions pécuniaires fondées sur la clause susdite.</w:t>
      </w:r>
    </w:p>
    <w:p>
      <w:r>
        <w:rPr>
          <w:b/>
        </w:rPr>
        <w:t>E. 5</w:t>
      </w:r>
    </w:p>
    <w:p>
      <w:r>
        <w:t>Quant à l'irrecevabilité sanctionnant les conclusions formulées en appel qui portaient sur les frais et dépens de première instance, les recourants sont d'avis que la cour cantonale a méconnu la jurisprudence fédérale. Ils n'auraient pas eu l'obligation de chiffrer leurs conclusions corrélatives, puisque " ils n'ont pas procédé indépendamment de la procédure au fond ".</w:t>
      </w:r>
    </w:p>
    <w:p>
      <w:r>
        <w:t>Pour bien comprendre la problématique, il faut rappeler que les demandeurs sont des consorts actifs simples ( art. 71 CPC ). B.________ a formulé des conclusions en paiement contre l'intimé en se basant sur la clause de prohibition de concurrence signée avec elle, alors que les autres demandeurs (les intimés 2 à 4) ont formulé des conclusions tendant au paiement à leur profit de montants distincts, qu'ils ont toutefois chiffrées trop tard, de sorte que celles-ci ont été déclarées irrecevables. Les recourants ne le remettent pas en question.</w:t>
      </w:r>
    </w:p>
    <w:p>
      <w:r>
        <w:t>Les premiers juges ont condamné l'ensemble des demandeurs à assumer solidairement les frais de justice fixés à 33'957 fr.95 et à verser, solidairement entre eux, au défendeur 41'334 fr.25 à titre de dépens. Dans leur appel, les demandeurs n'ont pas fait valoir de grief à l'encontre de l'engagement solidaire qui leur était imposé. Dans une seule écriture, les appelants ont pris deux conclusions, dont la seconde tendait à ce que seuls les frais et dépens relatifs à la conclusion de première instance des demandeurs 2 à 4 soient mis à la charge de ces derniers. Comme ils l'affirment dans leur recours, cette conclusion signifiait que si la cour d'appel cantonale admettait l'appel de B.________ (demanderesse 1), seuls les frais et dépens liés aux conclusions (irrecevables) des demandeurs 2 à 4 devaient être mis à la charge de ces derniers.</w:t>
      </w:r>
    </w:p>
    <w:p>
      <w:r>
        <w:t>Cela étant, puisque la cour cantonale n'a pas admis la première conclusion de l'appel - celle tendant au paiement à B.________ - mais l'a rejetée, elle n'avait pas à statuer différemment du premier juge sur les frais et dépens. Au mieux, c'est donc par un rejet que la seconde conclusion de l'appel, relative aux frais et dépens, aurait dû être sanctionnée. Les recourants ne prétendent pas le contraire.</w:t>
      </w:r>
    </w:p>
    <w:p>
      <w:r>
        <w:t>Il s'ensuit qu'il n'est pas nécessaire de discuter plus avant de la question de savoir si les conclusions relatives aux frais et dépens auraient dû être chiffrées pour être recevables. Les recourants n'ont pas d'intérêt digne de protection à l'annulation de ce chiffre du dispositif ( art. 76 LTF ).</w:t>
      </w:r>
    </w:p>
    <w:p>
      <w:r>
        <w:rPr>
          <w:b/>
        </w:rPr>
        <w:t>E. 6</w:t>
      </w:r>
    </w:p>
    <w:p>
      <w:r>
        <w:t>Sur le vu de ce qui précède, le recours doit être rejeté dans la mesure où il est recevable, aux frais des recourants, débiteurs solidaires ( art. 66 al. 1 et 5 LTF ). Ces derniers verseront à l'intimé une indemnité à titre de dépens, dont ils sont également débiteurs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