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4A_205/2013 vom 17. Juni 2013</w:t>
      </w:r>
    </w:p>
    <w:p>
      <w:r>
        <w:t>Bundesgericht, 2013-06-17, FR</w:t>
      </w:r>
    </w:p>
    <w:p>
      <w:r>
        <w:rPr>
          <w:b/>
        </w:rPr>
        <w:t xml:space="preserve">Quelle: </w:t>
      </w:r>
      <w:r>
        <w:t>https://mcp.opencaselaw.ch/entscheid/bger_4A_205_2013</w:t>
      </w:r>
    </w:p>
    <w:p>
      <w:r>
        <w:t>FR: TF 4A_205/2013 du 17 juin 2013</w:t>
      </w:r>
    </w:p>
    <w:p>
      <w:r>
        <w:t>IT: TF 4A_205/2013 del 17 giugno 2013</w:t>
      </w:r>
    </w:p>
    <w:p>
      <w:pPr>
        <w:pStyle w:val="Heading2"/>
      </w:pPr>
      <w:r>
        <w:t>Erwägungen</w:t>
      </w:r>
    </w:p>
    <w:p>
      <w:r>
        <w:rPr>
          <w:b/>
        </w:rPr>
        <w:t>E. 1</w:t>
      </w:r>
    </w:p>
    <w:p>
      <w:r>
        <w:t>L'art. 407 al. 3 du Code de procédure civile (CPC; RS 272) prévoit que le droit en vigueur au moment de la communication de la sentence s'applique aux voies de recours. En l'espèce, la sentence attaquée a été communiquée aux parties le 1er mars 2013, soit après l'entrée en vigueur, le 1er janvier 2011, du CPC. Par conséquent, s'agissant d'un arbitrage interne, ce sont les art. 389 à 395 CPC qui fixent les conditions auxquelles cette décision pouvait être déférée au Tribunal fédéral ( art. 77 al. 1 let. b LTF ).</w:t>
      </w:r>
    </w:p>
    <w:p>
      <w:r>
        <w:rPr>
          <w:b/>
        </w:rPr>
        <w:t>E. 2.1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interdit de présenter un fait nouveau ou une preuve nouvelle, à quelques exceptions près ( art. 77 al. 2 LTF a contrario ). Quant à l' art. 77 al. 3 LTF , il impose au Tribunal fédéral de n'examiner que les griefs invoqués et motivés par le recourant.</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 mutatis mutandis, l' ATF 136 III 605 consid. 3.3.4 p. 616 au sujet des problèmes de compétence et de récusation). Toute autre conclusion est irrecevable.</w:t>
      </w:r>
    </w:p>
    <w:p>
      <w:r>
        <w:t>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4A_439 et 457/2012 du 8 mai 2013 consid. 3.1; arrêt 4A_254/2011 du 5 juillet 2011 consid. 5.1).</w:t>
      </w:r>
    </w:p>
    <w:p>
      <w:r>
        <w:rPr>
          <w:b/>
        </w:rPr>
        <w:t>E. 2.2</w:t>
      </w:r>
    </w:p>
    <w:p>
      <w:r>
        <w:t>Examiné à la lumière de ces principes, le présent recours apparaît manifestement irrecevable.</w:t>
      </w:r>
    </w:p>
    <w:p>
      <w:r>
        <w:t>Sous lettre H. de son mémoire (p. 12), le recourant affirme que rien ne s'oppose à ce que le Tribunal fédéral revoie la sentence avec une cognition entière quant aux faits et au droit. C'est précisément le contraire qui découle de la jurisprudence susmentionnée. Au reste, le précédent cité par le recourant (arrêt 4A_232/2007 du 2 octobre 2007 consid. 1.1.3, publié in ATF 133 III 634 ) ne lui est d'aucun secours: non seulement, il ne vient pas étayer pareille affirmation, mais il a trait, de surcroît, à une procédure de recours régie par le concordat sur l'arbitrage du 27 mars 1969 (CA).</w:t>
      </w:r>
    </w:p>
    <w:p>
      <w:r>
        <w:t>Quant aux motifs de recours, le recourant soutient, sous lettre J. de son mémoire (p. 13), que "[l]e recours peut être formé pour violation du droit fédéral (art. 95 lit. a LTF) ". Et d'exposer ensuite, sur un mode purement appellatoire, en quoi la sentence attaquée violerait, selon lui, les dispositions pertinentes du code civil, du code des obligations ainsi que de la norme SIA 118, et pourquoi elle serait entachée d'une appréciation arbitraire de l'avis donné par un expert, voire contiendrait une erreur dans la répartition des frais de procédure (mémoire, let. K. à R., p. 14 à 20). En argumentant ainsi, le recourant méconnaît la nature juridique du recours fédéral dirigé contre une sentence rendue dans un arbitrage interne. Il traite la sentence litigieuse à l'égal d'une décision émanant d'une autorité judiciaire cantonale de dernière instance, susceptible d'être attaquée au titre de la violation du droit fédéral. C'est oublier qu'un tel grief est expressément exclu dans le domaine considéré par une disposition spécifique, à savoir l' art. 77 al. 2 LTF , comme on l'a déjà souligné. Seuls y sont, en effet, recevables les motifs énoncés limitativement à l' art. 393 CPC , étant rappelé que de tels motifs ne se recoupent pas nécessairement ou, du moins, pas entièrement avec les garanties constitutionnelles comparables, puisqu'ils tiennent compte de la spécificité de la procédure arbitrale par rapport à la procédure civile ordinaire (pour la définition restrictive de la notion de "constatations manifestement contraires aux faits résultant du dossier", au sens de l' art. 393 let . e CPC, cf. l'arrêt 4A_439 et 457/2012, précité, consid. 4.1). Or, on cherche en vain, dans les explications du recourant, une référence à la disposition susmentionnée et il n'appartient pas au Tribunal fédéral, vu l' art. 77 al. 3 LTF , de remédier au défaut de motivation affectant le mémoire de recours (cf. arrêt 4A_254/2011, précité, consid. 5.2).</w:t>
      </w:r>
    </w:p>
    <w:p>
      <w:r>
        <w:t>Enfin, les conclusions prises par le recourant sont, elles aussi, irrecevables dans la mesure où elles invitent le Tribunal fédéral à statuer lui-même sur le fond après qu'il aura annulé la sentence attaquée.</w:t>
      </w:r>
    </w:p>
    <w:p>
      <w:r>
        <w:rPr>
          <w:b/>
        </w:rPr>
        <w:t>E. 3</w:t>
      </w:r>
    </w:p>
    <w:p>
      <w:r>
        <w:t>Le recourant, qui succombe, devra payer les frais de la procédure fédérale ( art. 66 al. 1 LTF ) et verser des dépens à l'intimée ( art. 68 al. 1 et 2 LTF ).</w:t>
      </w:r>
    </w:p>
    <w:p>
      <w:r>
        <w:t>P ar ces motifs,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