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4A_204/2019 vom 12. September 2019</w:t>
      </w:r>
    </w:p>
    <w:p>
      <w:r>
        <w:t>Bundesgericht, 2019-09-12, DE</w:t>
      </w:r>
    </w:p>
    <w:p>
      <w:r>
        <w:rPr>
          <w:b/>
        </w:rPr>
        <w:t xml:space="preserve">Quelle: </w:t>
      </w:r>
      <w:r>
        <w:t>https://mcp.opencaselaw.ch/entscheid/bger_4A_204_2019</w:t>
      </w:r>
    </w:p>
    <w:p>
      <w:r>
        <w:t>FR: TF 4A_204/2019 du 12 septembre 2019</w:t>
      </w:r>
    </w:p>
    <w:p>
      <w:r>
        <w:t>IT: TF 4A_204/2019 del 12 settembre 2019</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grundsätzlich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es sei unbestritten, dass die Beschwerdeführerin im Universitätsspital V.________ in einem befristeten Arbeitsverhältnis angestellt gewesen sei. Ein Kündigungsrecht sei ihr nicht zugestanden. Die vorzeitige Beendigung des Arbeitsverhältnisses auf den 31. Dezember 2015 sei einvernehmlich erfolgt. Im Zeitpunkt der Beendigung des Arbeitsverhältnisses am 31. Dezember 2015 habe sodann unbestrittenermassen keine Arbeitslosigkeit im Sinne von Art. 10 des Arbeitslosenversicherungsgesetzes (AVIG, SR 837.0) bestanden.</w:t>
      </w:r>
    </w:p>
    <w:p>
      <w:r>
        <w:t>Bei der Beschwerdeführerin habe wegen der Schmerzen im rechten Iliosakralgelenk ab November 2015, und über die Beendigung des Arbeitsverhältnisses am 31. Dezember 2015 hinaus, eine durchgehende Arbeitsunfähigkeit bestanden. Bei befristeten Arbeitsverhältnissen seien gemäss den AVB-Kollektivtaggeldversicherung weder Leistungen nach dem Ausscheiden aus dem versicherten Personenkreis im Sinne von Nachleistungen geschuldet, noch bestünde bei der am 31. Dezember 2015 nicht "arbeitslosen" Beschwerdeführerin das Recht auf Übertritt in die Einzelversicherung gemäss Ziffer 11.1 AVB-Kollektivtaggeldversicherung.</w:t>
      </w:r>
    </w:p>
    <w:p>
      <w:r>
        <w:t>Für die über die Beendigung des Arbeitsverhältnisses hinausgehende Arbeitsunfähigkeit habe die Beschwerdeführerin damit keinen Leistungsanspruch aus der Kollektivversicherung. Dies auch nicht mittelbar über ein im Kollektivvertrag zugesichertes Recht auf Übertritt in die Einzelversicherung. Selbst wenn ein vertragliches Übertrittsrecht in die Einzelversicherung bestehen würde, blieben während der Zugehörigkeit zur Kollektivversicherung eingetretene Ereignisse dem Rückwärtsversicherungsverbot unterstellt. Da sich die Beschwerdeführerin - mangels Arbeitslosigkeit am 1. Januar 2016 - auch nicht auf Art. 100 Abs. 2 VVG berufen könne, sei zusammenfassend festzuhalten, dass wegen des Rückwärtsversicherungsverbots in Art. 9 VVG für die ab 1. Januar 2016 bestandene Arbeitsunfähigkeit keine Leistungen aus der Taggeldversicherung X.________ erbracht werden können.</w:t>
      </w:r>
    </w:p>
    <w:p>
      <w:r>
        <w:rPr>
          <w:b/>
        </w:rPr>
        <w:t>E. 4</w:t>
      </w:r>
    </w:p>
    <w:p>
      <w:r>
        <w:t>Die dagegen von der Beschwerdeführerin vorgebrachten Ausführungen genügen den Begründungsanforderungen, die an eine Beschwerde in Zivilsachen gestellt werden, nicht.</w:t>
      </w:r>
    </w:p>
    <w:p>
      <w:r>
        <w:rPr>
          <w:b/>
        </w:rPr>
        <w:t>E. 4.1</w:t>
      </w:r>
    </w:p>
    <w:p>
      <w:r>
        <w:t>Sie schildert zunächst unter der Überschrift "Materielles / Prozessgeschichte" den Sachverhalt aus ihrer eigenen Sicht und geht dabei mehrfach über den vorinstanzlich festgestellten Sachverhalt hinaus, ohne eine hinreichende Sachverhaltsrüge nach den oben genannten Grundsätzen zu erheben (dazu Erwägung 2.2). Darauf ist nicht abzustellen.</w:t>
      </w:r>
    </w:p>
    <w:p>
      <w:r>
        <w:rPr>
          <w:b/>
        </w:rPr>
        <w:t>E. 4.2</w:t>
      </w:r>
    </w:p>
    <w:p>
      <w:r>
        <w:t>Die Beschwerdeführerin beanstandet sodann, Versicherte mit befristeter Anstellung würden durch die Regelung in den Allgemeinen Versicherungsbedingungen massiv benachteiligt und diese Ungleichbehandlung verdiene keinen Rechtsschutz. Mit diesen allgemeinen Ausführungen zeigt die Beschwerdeführerin nicht hinreichend konkret auf, inwiefern der Entscheid der Vorinstanz Bundesrecht verletzen würde (dazu Erwägung 2.1).</w:t>
      </w:r>
    </w:p>
    <w:p>
      <w:r>
        <w:rPr>
          <w:b/>
        </w:rPr>
        <w:t>E. 4.3</w:t>
      </w:r>
    </w:p>
    <w:p>
      <w:r>
        <w:t>Die Vorinstanz erwog, im Zeitpunkt der Beendigung des Arbeitsverhältnisses, am 31. Dezember 2015, habe unbestrittenermassen keine Arbeitslosigkeit im Sinne von Art. 10 AVIG vorgelegen. Die Beschwerdeführerin könne sich daher mangels Arbeitslosigkeit am 1. Januar 2016 nicht auf Art. 100 Abs. 2 VVG berufen. Wie die Beschwerdegegnerin richtig erkennt, setzt sich die Beschwerdeführerin mit diesen Erwägungen nicht hinreichend auseinander (dazu Erwägung 2.1), indem sie bloss entgegen der Vorinstanz behauptet, dass sie innerhalb des dreimonatigen Übertrittrechts arbeitslos geworden sei und sich auf Art. 100 Abs. 2 VVG berufen könne. Auch darauf ist nicht einzutreten.</w:t>
      </w:r>
    </w:p>
    <w:p>
      <w:r>
        <w:rPr>
          <w:b/>
        </w:rPr>
        <w:t>E. 5</w:t>
      </w:r>
    </w:p>
    <w:p>
      <w:r>
        <w:t>Die Beschwerdeführerin trägt vor, dass gemäss den Allgemeinen Versicherungsbedingungen für versicherte Personen kein Übertrittsrecht in die Einzelversicherung bestehe, wenn diese mit einem befristeten Arbeitsvertrag angestellt seien. Mit dem Formular "Austritt aus der Kollektiv-Taggeldversicherung und/oder der UVG-Zusatzversicherung" sei ihr aber nachträglich ein Übertrittsrecht in die Einzeltaggeldversicherung ohne erneute Überprüfung des Gesundheitszustandes schriftlich zugesichert worden. Mit der Unterschrift vom 23. September 2015 habe die Beschwerdeführerin bestätigt, dass sie über das Recht zum Übertritt in die Einzelversicherung orientiert worden sei. Entgegen der Auffassung der Vorinstanz habe ihr die Beschwerdegegnerin mit diesem Formular die Freizügigkeit gewährt.</w:t>
      </w:r>
    </w:p>
    <w:p>
      <w:r>
        <w:t>Vor der Vorinstanz behauptete die Beschwerdeführerin, eine Mitarbeiterin der Beschwerdegegnerin habe ihr das Übertrittsrecht mündlich zugesichert. Solches bringt sie vor Bundesgericht nicht mehr hinreichend vor. Aus dem vorinstanzlichen Entscheid ist aber nicht ersichtlich, dass die Beschwerdeführerin bereits vor der Vorinstanz geltend gemacht hätte, die Beschwerdegegnerin habe ihr mit dem Formular "Austritt aus der Kollektiv-Taggeldversicherung und/oder der UVG-Zusatzversicherung" einen nahtlosen Übertritt von der Kollektivversicherung in die Einzelversicherung zugesichert. Es ist daher bereits mangels Ausschöpfung des Instanzenzugs fraglich, ob vor Bundesgericht auf diese Rüge überhaupt einzutreten wäre (vgl. BGE 143 III 290 E. 1.1 S. 293). Unabhängig davon behauptet die Beschwerdeführerin bloss unsubstanziiert, dass ihr ein Übertritt mit dem genannten Formular zugesichert worden sei. Inwiefern die Beschwerdegegnerin einen solchen Übertritt aber konkret durch das Formular zugesichert hätte, legt die Beschwerdeführerin vor Bundesgericht nicht rechtsgenüglich dar (dazu Erwägung 2.1). Im Übrigen ist der Inhalt des genannten Formulars im vorinstanzlichen Sachverhalt nicht festgestellt und es wäre an der Beschwerdeführerin gewesen, eine Ergänzung des Sachverhalts zu verlangen, was sie unterlässt (dazu Erwägung 2.2). Auf diese Rüge ist damit nicht einzutreten.</w:t>
      </w:r>
    </w:p>
    <w:p>
      <w:r>
        <w:rPr>
          <w:b/>
        </w:rPr>
        <w:t>E. 6</w:t>
      </w:r>
    </w:p>
    <w:p>
      <w:r>
        <w:t>Die Vorinstanz kam in einer Hauptbegründung zum Schluss, die Beschwerdeführerin habe keinen Leistungsanspruch aus der Kollektivversicherung, auch nicht mittelbar über ein im Kollektivvertrag zugesichertes Recht auf Übertritt in die Einzelversicherung. In einer zusätzlichen Begründung erwog die Vorinstanz der Vollständigkeit halber, dass, selbst wenn ein Übertrittsrecht bestehen würde, die während der Zugehörigkeit zur Kollektivversicherung eingetretenen Ereignisse dem Rückwärtsversicherungsverbot nach Art. 9 VVG unterstellt blieben.</w:t>
      </w:r>
    </w:p>
    <w:p>
      <w:r>
        <w:t>Die selbstständig tragende Hauptbegründung der Vorinstanz vermag die Beschwerdeführerin nach dem oben Gesagten nicht als unrichtig auszuweisen. Da bereits die Hauptbegründung der Vorinstanz trägt, fehlt das Rechtschutzinteresse an der Beurteilung der von der Beschwerdeführerin gegen die Eventualerwägung vorgetragene Rüge einer Verletzung von Art. 9 VVG ( BGE 138 III 728 E. 3.4 S. 735).</w:t>
      </w:r>
    </w:p>
    <w:p>
      <w:r>
        <w:rPr>
          <w:b/>
        </w:rPr>
        <w:t>E. 7</w:t>
      </w:r>
    </w:p>
    <w:p>
      <w:r>
        <w:t>Auf die Beschwerde ist somit mangels hinreichend begründeter Rügen nicht einzutreten. Bei diesem Ausgang des Verfahrens wird die Beschwerdeführerin kostenpflichtig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