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203/2013 vom 6. Juni 2013</w:t>
      </w:r>
    </w:p>
    <w:p>
      <w:r>
        <w:t>Bundesgericht, 2013-06-06, DE</w:t>
      </w:r>
    </w:p>
    <w:p>
      <w:r>
        <w:rPr>
          <w:b/>
        </w:rPr>
        <w:t xml:space="preserve">Quelle: </w:t>
      </w:r>
      <w:r>
        <w:t>https://mcp.opencaselaw.ch/entscheid/bger_4A_203_2013</w:t>
      </w:r>
    </w:p>
    <w:p>
      <w:r>
        <w:t>FR: TF 4A 203/2013 du 6 juin 2013</w:t>
      </w:r>
    </w:p>
    <w:p>
      <w:r>
        <w:t>IT: TF 4A 203/2013 del 6 giugno 2013</w:t>
      </w:r>
    </w:p>
    <w:p>
      <w:pPr>
        <w:pStyle w:val="Heading2"/>
      </w:pPr>
      <w:r>
        <w:t>Regeste</w:t>
      </w:r>
    </w:p>
    <w:p>
      <w:r>
        <w:t>Arbeitsvertrag | Vertragsrecht</w:t>
      </w:r>
    </w:p>
    <w:p>
      <w:pPr>
        <w:pStyle w:val="Heading2"/>
      </w:pPr>
      <w:r>
        <w:t>Erwägungen</w:t>
      </w:r>
    </w:p>
    <w:p>
      <w:r>
        <w:rPr>
          <w:b/>
        </w:rPr>
        <w:t>E. 1</w:t>
      </w:r>
    </w:p>
    <w:p>
      <w:r>
        <w:t>In vermögensrechtlichen Angelegenheiten, die wie hier einen arbeitsrechtlichen Fall betreffen, ist die Beschwerde in Zivilsachen nur zulässig, wenn der Streitwert mindestens 15'000 Franken beträgt ( Art. 74 Abs. 1 lit. a BGG ). Bei der Berechnung des Streitwerts wird der Betrag der Klage nicht mit demjenigen der Widerklage zusammengerechnet ( Art. 53 Abs. 1 BGG ). Schliessen die in Hauptklage und Widerklage geltend gemachten Ansprüche einander aus und erreicht eine der beiden Klagen die Streitwertgrenze nicht, so gilt die Streitwertgrenze auch für diese Klage als erreicht, wenn sich die Beschwerde auf beide Klagen bezieht ( Art. 53 Abs. 2 BGG ). Vorliegend wird die Streitwertgrenze nur von der Widerklage erreicht, nicht aber von der Hauptklage, die einen Streitwert von bloss Fr. 10'609.35 aufweist. Auch bei Hinzurechnung eines allfälligen Werts der Pflicht zur Ausstellung einer Arbeitsbestätigung würde die Grenze von Fr. 15'000.-- nicht erreicht. Die Hauptklage der Beschwerdegegnerin auf Zahlung von Lohn sowie Ferien- und Feiertagsabgeltung und die Widerklage des Beschwerdeführers auf Zahlung von Schadenersatz schliessen sich gegenseitig nicht aus. Die Gutheissung der einen hat nicht zwangsläufig die Abweisung der anderen zur Folge (Urteil 4A_473/2010 vom 25. Januar 2011 E. 1.1; Beat Rudin, in: Basler Kommentar, Bundesgerichtsgesetz, 2. Aufl. 2011, N. 11 und 13 zu Art. 53 BGG ; Jean-Maurice Frésard, in: Commentaire de la LTF, 2009, N. 15 zu Art. 53 BGG ). Da somit die Voraussetzungen für eine Kompetenzattraktion nach Art. 53 Abs. 2 BGG nicht erfüllt sind und auch keine Rechtsfrage von grundsätzlicher Bedeutung geltend gemacht wird, erweist sich die Beschwerde in Zivilsachen nur hinsichtlich der Widerklage als zulässig, während hinsichtlich der Hauptklage die subsidiäre Verfassungsbeschwerde in Betracht fällt ( Art. 113 BGG ). Mit letzterer kann ausschliesslich die Verletzung von verfassungsmässigen Rechten gerügt werden ( Art. 116 BGG ).</w:t>
      </w:r>
    </w:p>
    <w:p>
      <w:r>
        <w:rPr>
          <w:b/>
        </w:rPr>
        <w:t>E. 2</w:t>
      </w:r>
    </w:p>
    <w:p>
      <w:r>
        <w:t>Die Vorinstanz ist auf die Berufung nicht eingetreten. Der Beschwerdeführer beantragt die Aufhebung des angefochtenen Beschlusses und die Abweisung der Klage der Beschwerdegegnerin. Hinsichtlich der Widerklage stellt er keinen Antrag. Mit Beschwerde gegen einen Nichteintretensentscheid kann allein die Aufhebung und Rückweisung an die Vorinstanz verlangt werden, nicht jedoch die reformatorische Beurteilung, weshalb kein materieller Antrag erforderlich ist ( BGE 138 III 46 E. 1.2 S. 48).</w:t>
      </w:r>
    </w:p>
    <w:p>
      <w:r>
        <w:rPr>
          <w:b/>
        </w:rPr>
        <w:t>E. 3</w:t>
      </w:r>
    </w:p>
    <w:p>
      <w:r>
        <w:t>Das Eintreten scheitert indessen an der ungenügenden Begründung der Beschwerde:</w:t>
      </w:r>
    </w:p>
    <w:p>
      <w:r>
        <w:rPr>
          <w:b/>
        </w:rPr>
        <w:t>E. 3.1</w:t>
      </w:r>
    </w:p>
    <w:p>
      <w:r>
        <w:t>Mit Bezug auf die Hauptklage ist die Begründung bereits insoweit unzureichend, als sich der Beschwerdeführer auf kein verfassungsmässiges Recht beruft, wie er es im Rahmen der subsidiären Verfassungsbeschwerde müsste (Art. 116 und Art. 117 i.V.m. Art. 106 Abs. 2 BGG ).</w:t>
      </w:r>
    </w:p>
    <w:p>
      <w:r>
        <w:rPr>
          <w:b/>
        </w:rPr>
        <w:t>E. 3.2</w:t>
      </w:r>
    </w:p>
    <w:p>
      <w:r>
        <w:t>Die Beschwerde erweist sich sodann auch hinsichtlich der Widerklage als ungenügend begründet: Wenn die Vorinstanz - wie hier - in ihren Nichteintretensentscheid eine materielle Eventualbegründung aufgenommen hat, muss sich der Beschwerdeführer mit beiden Begründungen auseinandersetzen, andernfalls wird auf seine Beschwerde nicht eingetreten ( BGE 133 IV 119 E. 6.1-6.4). Vorliegend präsentiert der Beschwerdeführer weder gegen die materielle Eventualbegründung noch gegen die Hauptbegründung betreffend Nichteintreten eine rechtsgenügliche Rüge: Er wirft zunächst dem Arbeitsgericht vor, den Untersuchungsgrundsatz, die richterliche Fragepflicht und Art. 69 Abs. 1 ZPO betreffend die richterliche Bestellung eines Rechtsvertreters verletzt zu haben. In diesen an die Adresse der ersten Instanz gerichteten Vorwürfen kann keine Anfechtung der materiellen Eventualbegründung der Vorinstanz erblickt werden. Es fehlt jegliche sachbezogene Auseinandersetzung mit den Erwägungen der Vorinstanz. Letztere begründete unter Bezugnahme auf die Ausführungen des Beschwerdeführers in der Berufung eingehend, weshalb die erste Instanz zutreffend und ohne Recht zu verletzen auf ein Beweisverfahren verzichtet hatte. Auch was die Hauptbegründung der Vorinstanz anbelangt, mangelt es an einer hinreichenden Anfechtung. Der Beschwerdeführer begründet nicht, weshalb es bundesrechtswidrig sein soll, wenn die Vorinstanz mangels eines rechtsgenüglichen Antrags nicht auf die Berufung eingetreten ist. Er bringt lediglich vor, die Vorinstanz hätte (wie die Erstinstanz) dem Untersuchungsgrundsatz sowie der richterlichen Fürsorge- und Fragepflicht nachkommen sowie einen Rechtsvertreter bestellen oder die Berufung wenigstens zur Verbesserung zurückweisen müssen. Diese pauschalen Vorwürfe sind ungenügend motiviert ( Art. 42 Abs. 2 BGG ). Sie sind überdies auch offensichtlich unbegründet: Weder die Untersuchungsmaxime noch die richterliche Fragepflicht verbieten, auf ein unzulässiges Rechtsmittel nicht einzutreten. Die formellen Begründungsanforderungen sind von Rechtsmittelklägern auch in Verfahren zu beachten, in denen der Untersuchungsgrundsatz gilt ( BGE 138 III 374 E. 4.3.1 S. 375; 137 III 617 E. 5.2). Ebenso wenig besteht eine Pflicht, bei ungenügenden Rechtsbegehren oder ungenügender Begründung die Berufung zur Verbesserung zurückzugeben. Dabei handelt es sich nicht um verbesserliche Mängel ( BGE 137 III 617 E. 6.4; vgl. auch Urteile 5A_438/2012 vom 27. August 2012 E. 2.4 und 4A_659/2011 vom 7. Dezember 2011 E. 5, wonach dies auch bei Laieneingaben gilt). Schliesslich ist auch nicht dargetan, dass der Beschwerdeführer im Sinne von Art. 69 ZPO offensichtlich nicht im Stande gewesen wäre, den Prozess selbst zu führen. Im Übrigen wurde er - wie er in der Beschwerde ausführt - in erster Instanz gefragt, ob er einen Anwalt bestellen wolle, was er jedoch ausdrücklich verneint habe. Es ist daher nicht ersichtlich, dass die Vorinstanz Art. 69 Abs. 1 ZPO verletzt hätte, indem sie darauf verzichtete, dem Beschwerdeführer entgegen seinem Willen einen Rechtsvertreter zu bestellen.</w:t>
      </w:r>
    </w:p>
    <w:p>
      <w:r>
        <w:rPr>
          <w:b/>
        </w:rPr>
        <w:t>E. 4</w:t>
      </w:r>
    </w:p>
    <w:p>
      <w:r>
        <w:t>Auf die Beschwerde kann nicht eingetreten werden. Bei diesem Ausgang des Verfahrens wird der Beschwerdeführer kosten- und entschädigungspflichtig ( Art. 66 Abs. 1 und Art. 68 Abs. 2 BGG sowie Art. 65 Abs. 4 lit. c BGG ). Mangels Einholung einer Beschwerdeantwort erwuchs der obsiegenden Beschwerdegegnerin insoweit kein Aufwand. Hingegen ist ihr für die Vernehmlassung zum Gesuch des Beschwerdeführers um Erteilung der aufschiebenden Wirkung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