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202/2021 vom 19. Juli 2021</w:t>
      </w:r>
    </w:p>
    <w:p>
      <w:r>
        <w:t>Bundesgericht, 2021-07-19, DE</w:t>
      </w:r>
    </w:p>
    <w:p>
      <w:r>
        <w:rPr>
          <w:b/>
        </w:rPr>
        <w:t xml:space="preserve">Quelle: </w:t>
      </w:r>
      <w:r>
        <w:t>https://mcp.opencaselaw.ch/entscheid/bger_4A_202_2021</w:t>
      </w:r>
    </w:p>
    <w:p>
      <w:r>
        <w:t>FR: TF 4A 202/2021 du 19 juillet 2021</w:t>
      </w:r>
    </w:p>
    <w:p>
      <w:r>
        <w:t>IT: TF 4A 202/2021 del 19 luglio 2021</w:t>
      </w:r>
    </w:p>
    <w:p>
      <w:pPr>
        <w:pStyle w:val="Heading2"/>
      </w:pPr>
      <w:r>
        <w:t>Regeste</w:t>
      </w:r>
    </w:p>
    <w:p>
      <w:r>
        <w:t>Krankentaggeldversicherung, | Vertragsrecht</w:t>
      </w:r>
    </w:p>
    <w:p>
      <w:pPr>
        <w:pStyle w:val="Heading2"/>
      </w:pPr>
      <w:r>
        <w:t>Erwägungen</w:t>
      </w:r>
    </w:p>
    <w:p>
      <w:r>
        <w:rPr>
          <w:b/>
        </w:rPr>
        <w:t>E. 1</w:t>
      </w:r>
    </w:p>
    <w:p>
      <w:r>
        <w:t>Das angefochtene Urteil des Sozialversicherungsgerichts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Streitig ist der Taggeldanspruch der Beschwerdegegnerin für die Zeit vom 3. Juni 2019 bis 5. August 2019. Konkret war im vorinstanzlichen Verfahren zu entscheiden, ob die Beschwerdegegnerin in dieser Zeitspanne aufgrund einer "psychiatrischen Erkrankung" arbeitsunfähig war.</w:t>
      </w:r>
    </w:p>
    <w:p>
      <w:r>
        <w:rPr>
          <w:b/>
        </w:rPr>
        <w:t>E. 4</w:t>
      </w:r>
    </w:p>
    <w:p>
      <w:r>
        <w:t>Dies bejahte die Vorinstanz. Sie stützte sich auf Berichte der behandelnden Ärztin Dr. med. D.________ vom 28. Mai 2019, vom 11. Juli 2019 sowie vom 20. August 2019 und hielt fest, dass diese Gutachten der Beschwerdegegnerin eine volle Arbeitsunfähigkeit im besagten Zeitraum bestätigten. Das Sozialversicherungsgericht verwies ferner auf eine Einschätzung der Wiedereingliederungsstelle, auf die von der Beschwerdegegnerin im Juli 2019 eingenommenen Medikamente und auf den Umstand, dass die IV der Beschwerdegegnerin Eingliederungsmassnahmen und Taggelder gewährt habe, was bei einer vollen Arbeitsfähigkeit "nicht notwendig" gewesen wäre. Dem Gutachten von Dr. med. C.________ vom 24. Mai 2019, auf welches die Beschwerdeführerin ihre Leistungseinstellung stütze, könne dagegen nicht gefolgt werden. Dieser Bericht basiere auf einer Untersuchung vom 10. April 2019, die mithin "rund zweieinhalb Monate" vor der zu beurteilenden Periode (3. Juni 2019 bis 5. August 2019) durchgeführt worden sei. Ausserdem berücksichtige das Gutachten nicht, dass die Beschwerdegegnerin ab dem 6. Mai 2019 ein von der IV unterstütztes Wiedereingliederungsprogramm begonnen habe, dessen Rahmenbedingungen sich nicht mit der von Dr. med. C.________ attestierten vollen Arbeitsfähigkeit in Einklang bringen liessen. Hinzu komme, dass sich Dr. med. C.________ in seiner Beurteilung auf die für Langzeitleistungen massgebenden versicherungsmedizinischen Kriterien gestützt habe. Hier gehe es aber um vorübergehende Kurzzeitleistungen, für welche diese Kriterien nicht anwendbar seien. Die echtzeitlichen Berichte vom 28. Mai 2019, vom 11. Juli 2019 und vom 20. August 2019 von Dr. med. D.________ gelangten nachvollziehbar zu einer anderen Einschätzung. Dr. med. C.________ habe die Widersprüche in weiteren Stellungnahmen vom 21. April 2020 und vom 28. August 2020 nicht ausräumen können, zumal er sich darin widersprüchlich äussere.</w:t>
      </w:r>
    </w:p>
    <w:p>
      <w:r>
        <w:rPr>
          <w:b/>
        </w:rPr>
        <w:t>E. 5.1</w:t>
      </w:r>
    </w:p>
    <w:p>
      <w:r>
        <w:t>Die Beschwerdeführerin bringt zunächst in Ziffer 1 ihrer Beschwerdeschrift vor, Dr. med. C.________ habe in seinem Gutachten entgegen der Vorinstanz die richtigen Kriterien angewandt. Er habe nämlich auf die "Standardindikatoren" abgestellt, wie sie gemäss BGE 141 V 281 E. 4.1.3 massgebend seien. Wäre dies unzulässig, müssten medizinische Gutachter "künftig die Prüfung der Standardindikatoren in Gutachten für Krankentaggeldversicherer nach VVG und KVG weglassen". Dies habe - so die Beschwerdeführerin - zur Konsequenz, dass die IV in Zukunft nicht mehr auf Gutachten werde abstellen können, die von Taggeldversicherern veranlasst worden seien. Dies "könnte Mehrkosten für die Invalidenversicherung zur Folge haben". Die Vorinstanz habe dies verkannt und dadurch Art. 6 Satz 1 ATSG (SR 830.1) sowie Art. 1.7 Satz 1 der anwendbaren allgemeinen Versicherungsbedingungen verletzt. Diese Rüge beschlägt nicht eine Rechtsverletzung, sondern die vorinstanzliche Würdigung der im Recht liegenden Gutachten: Es geht um die Überzeugungskraft der Stellungnahme von Dr. med. C.________ vom 24. Mai 2019. Diese Würdigung ist vom Bundesgericht nur unter Willkürgesichtspunkten zu überprüfen (dazu Erwägung 5.3). Ein Verstoss gegen sozialversicherungsrechtliche Bestimmungen kann vorliegend nicht zur Diskussion stehen.</w:t>
      </w:r>
    </w:p>
    <w:p>
      <w:r>
        <w:rPr>
          <w:b/>
        </w:rPr>
        <w:t>E. 5.2</w:t>
      </w:r>
    </w:p>
    <w:p>
      <w:r>
        <w:t>In Ziffer 2 moniert die Beschwerdeführerin, die Vorinstanz habe die beschränkte Untersuchungsmaxime ( Art. 243 Abs. 2 lit. f ZPO in Verbindung mit Art. 247 Abs. 2 lit. a ZPO ) verletzt, indem sie "von Amtes wegen [...] sämtliche IV-Akten beigezogen" habe. Diese Kritik ist unbegründet. Sowohl das Sozialversicherungsgericht als auch die Beschwerdegegnerin weisen zu Recht darauf hin, dass die Edition der IV-Akten im vorinstanzlichen Verfahren ausdrücklich sowie rechtzeitig beantragt worden war und der Beizug dieser Akten insofern nicht "von Amtes wegen" erfolgte. Ohnehin gibt die Beschwerdeführerin nicht präzise an, auf welche IV-Akten die Vorinstanz überhaupt abgestellt haben soll. Aus dem Urteil ergibt sich einzig, dass das Sozialversicherungsgericht auf IV-Akte 73 Bezug nahm. Dabei handelt es sich um einen ärztlichen Bericht vom 11. Juli 2019, welchen die Beschwerdegegnerin (auch) als Klagebeilage 23 eingereicht hatte. Die Beschwerdeführerin rügt genau besehen denn auch nicht die Verletzung zivilprozessualer Normen. Sie scheint sich vielmehr daran zu stören, dass die Vorinstanz ihrem Entscheid über die Arbeits (un) fähigkeit Akten zugrunde gelegt habe, die "nicht relevant" seien. Auch mit diesem Vorbringen beanstandet sie die Beweiswürdigung.</w:t>
      </w:r>
    </w:p>
    <w:p>
      <w:r>
        <w:rPr>
          <w:b/>
        </w:rPr>
        <w:t>E. 5.3</w:t>
      </w:r>
    </w:p>
    <w:p>
      <w:r>
        <w:t>In Ziffer 3 wirft die Beschwerdeführerin dem Sozialversicherungsgericht schliesslich vor, zu Unrecht auf eine Arbeitsunfähigkeit der Beschwerdegegnerin im streitigen Zeitraum geschlossen zu haben. Soweit sie sinngemäss rügt, die Vorinstanz habe den im Recht liegenden Gutachten der behandelnden Ärztin eine zivilprozessual unrichtige beweisrechtliche Bedeutung zugemessen, ist zu beachten, dass es keine starre Regel zur Würdigung von Angaben der behandelnden Ärzte gibt. Ob Willkür vorliegt, entscheidet sich vielmehr an der konkret erfolgten Beweiswürdigung (Urteil 4A_569/2018 vom 14. Januar 2019 E. 4.2 mit Hinweisen). Diese vermag die Beschwerdeführerin nicht als offensichtlich unrichtig auszuweisen. Dem - gründlich begründeten - Schluss der Vorinstanz, die Stellungnahmen von Dr. med. C.________ seien nicht überzeugend und widersprüchlich, setzt sie ihre eigene Interpretation dieser Berichte entgegen. Die Gutachten erschienen - so behauptet die Beschwerdeführerin - "nachvollziehbar" und Widersprüche seien "nicht ersichtlich". Sie geht nicht auf das Argument des Sozialversicherungsgerichts ein, Dr. med. C.________ habe die Beschwerdegegnerin zweieinhalb Monate vor der massgeblichen Zeitspanne begutachtet (und danach nicht mehr) und dem erst danach begonnenen Wiedereingliederungsprogramm nicht Rechnung tragen können. Im Übrigen stellt die Beschwerdeführerin die Diagnosen von Dr. med. D.________ und Dr. med. C.________ den Diagnosen in anderen medizinischen Berichten gegenüber, so namentlich jenem von Dr. med. E.________ vom 11. Oktober 2018 und jenem der Klinik F.________ vom 8. November 2018. Daraus schliesst sie, dass die "Kritik der Vorinstanz an Herrn Dr. C.________ [...] unberechtigt" sei. Die Beschwerdeführerin übergeht, dass es nicht am Bundesgericht ist, über die Richtigkeit der im Recht liegenden medizinischen Stellungnahmen zu entscheiden. Ebenso wenig zeigt sie Willkür auf, wenn sie in den Raum wirft, "bei der Beschwerdegegnerin [liege] eine negative Antwortverzerrung [vor]", ohne aber daraus weitere Schlüsse zu ziehen. Die Vorinstanz hat gestützt auf die Berichte von Dr. med. D.________ und weitere - durch Beweismittel nachgewiesene - Indizien nachvollziehbar geschlossen, dass die behauptete Arbeitsunfähigkeit erwiesen sei. Dass sie Sinn und Tragweite eines Beweismittels offensichtlich verkannt oder sonstwie unhaltbare Schlussfolgerungen gezogen hätte (siehe Erwägungen 2.1 f.), ist nicht erkennbar. Allein die Tatsache, dass die Beurteilungen der verschiedenen Ärzte (in Teilen) nicht übereinstimmen, belegt jedenfalls keine Willkür. Wie es sich mit der von Dr. med. C.________ durchgeführten "Standardindikatorenprüfung" (Erwägung 5.1) im Einzelnen verhält, kann offenbleiben. Nach dem Gesagten hat die Vorinstanz willkürfrei eine vom 3. Juni 2019 bis 5. August 2019 bestehende Arbeitsunfähigkeit festgestellt.</w:t>
      </w:r>
    </w:p>
    <w:p>
      <w:r>
        <w:rPr>
          <w:b/>
        </w:rPr>
        <w:t>E. 6</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