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202/2016 vom 3. August 2016</w:t>
      </w:r>
    </w:p>
    <w:p>
      <w:r>
        <w:t>Bundesgericht, 2016-08-03, FR</w:t>
      </w:r>
    </w:p>
    <w:p>
      <w:r>
        <w:rPr>
          <w:b/>
        </w:rPr>
        <w:t xml:space="preserve">Quelle: </w:t>
      </w:r>
      <w:r>
        <w:t>https://mcp.opencaselaw.ch/entscheid/bger_4A_202_2016</w:t>
      </w:r>
    </w:p>
    <w:p>
      <w:r>
        <w:t>FR: TF 4A 202/2016 du 3 août 2016</w:t>
      </w:r>
    </w:p>
    <w:p>
      <w:r>
        <w:t>IT: TF 4A 202/2016 del 3 agosto 2016</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les mémoires qu'elle a adressés au Tribunal fédéral, la recourante a employé le français. Les intimés en ont fait de même. Conformément à sa pratique, le Tribunal fédéral adoptera la langue du recours et rendra, par conséquent, son arrêt en français.</w:t>
      </w:r>
    </w:p>
    <w:p>
      <w:r>
        <w:rPr>
          <w:b/>
        </w:rPr>
        <w:t>E. 2.1</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ou encore des motifs de recours invoqués, aucune de ces conditions de recevabilité ne fait problème en l'espèce. Rien ne s'oppose donc à l'entrée en matière.</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doivent être exceptionnellement pris en considération dans le cadre de la procédure du recours en matière civile (arrêt 4A_42/2016 du 3 mai 2016 consid. 3). C'est le lieu d'observer que 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4A_54/2015 du 17 août 2015 consid. 2.3 citant l' ATF 140 III 16 consid. 1.3.1).</w:t>
      </w:r>
    </w:p>
    <w:p>
      <w:r>
        <w:rPr>
          <w:b/>
        </w:rPr>
        <w:t>E. 3</w:t>
      </w:r>
    </w:p>
    <w:p>
      <w:r>
        <w:t>Dans un premier moyen, la recourante, invoquant l' art. 190 al. 2 let . d LDIP, reproche à la Formation d'avoir violé son droit d'être entendue. A l'en croire, les arbitres, par un raisonnement insaisissable et imprévisible, auraient, sous couvert de la clause d'équité, choisi d'appliquer le droit suisse, plus précisément les règles de ce droit touchant la fin du contrat de travail, alors que les parties, toutes trois domiciliées dans le pays X.________, avaient spécifiquement évoqué le droit de ce pays-là dans la clause topique du compromis arbitral et ne pouvaient donc s'attendre à l'application d'un autre droit. A plus forte raison en allait-il ainsi s'agissant de l'AIR, contrat qui, passé entre deux personnes morales et ayant pour objet la cession payante du droit d'exploiter l'image d'un tiers, ne pouvait en aucun cas relever des rapports de travail, fussent-ils soumis au droit suisse. Dès lors, toujours selon la recourante, la Formation, en se tournant vers ce droit de manière inopinée, l'aurait privée, sans motif valable, de la possibilité de soulever toute objection quant à l'applicabilité même de la législation suisse en matière de droit du travail aux circonstances du cas concret.</w:t>
      </w:r>
    </w:p>
    <w:p>
      <w:r>
        <w:rPr>
          <w:b/>
        </w:rPr>
        <w:t>E. 3.1</w:t>
      </w:r>
    </w:p>
    <w:p>
      <w:r>
        <w:t>En Suisse, le droit d'être entendu se rapporte surtout à la constatation des faits. Le droit des parties d'être interpellées sur des questions juridiques n'est reconnu que de manière restreinte. En règle générale, selon l'adage 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4A_634/2014 du 21 mai 2015 consid. 4.1 et les arrêts cités).</w:t>
      </w:r>
    </w:p>
    <w:p>
      <w:r>
        <w:rPr>
          <w:b/>
        </w:rPr>
        <w:t>E. 3.2</w:t>
      </w:r>
    </w:p>
    <w:p>
      <w:r>
        <w:t>Considéré à la lumière de ces principes, le grief examiné apparaît dénué de tout fondement. Au chiffre 9 du compromis arbitral qu'elles ont signé le 12 août 2014, les parties ont réglé en ces termes la question du droit applicable: "The parties authorise the Arbitral Tribunal to assist them in reaching a settlement and, if it deems it appropriate, to decide ex aequo et bono . Applicable law should be X.________ law; the Arbitral Tribunal can also apply any rule of law that it will consider appropriate." A la lecture de ladite clause, et singulièrement du dernier membre de phrase de celle-ci, les parties ne pouvaient pas raisonnablement exclure que le Tribunal arbitral décidât d'appliquer un autre droit que le droit X.________, voire qu'il s'affranchît de toute référence à un droit déterminé pour trancher la cause en équité, d'autant moins que la forme verbale should, utilisée dans ladite clause en regard de la référence au droit X.________, ne leur permettait en aucun cas de conclure à l'application impérative de ce droit-ci. En outre, comme la Formation était composée de trois arbitres suisses, que le TAS a son siège en Suisse et que le droit suisse constitue le droit supplétif dans la procédure ordinaire conduite devant ce tribunal arbitral sportif (cf. art. R45 du Code de l'arbitrage en matière de sport), la recourante, assistée de cinq avocats dans la procédure d'arbitrage, aurait pu, à tout le moins, envisager la possibilité d'une application de ce droit, et non pas - pour reprendre ses propres termes - des "règles légales du Vietnam, du Sénégal ou des Etats-Unis". Mais il y a plus. En effet, l'ordonnance de procédure du 19 août 2015 ( Order of procedure ), signée par toutes les parties sans objection ni remarque, contient une clause 7, intitulée Law applicable to the merit , qui rappelle, dans un premier paragraphe, l'autorisation donnée à la Formation de statuer en équité, reproduit, dans un deuxième paragraphe, la clause 9, précitée, du compromis arbitral, puis expose ce qui suit dans un dernier paragraphe: "In view of the discretion granted to the Panel by the Parties, of their written submissions and of the fact that they chose Swiss arbitrators, the Panel deems it appropriate to decide this case ex aequo et bono and to refer to Swiss law whenever it deems it appropriate." Sur le vu de cette dernière phrase, on ne saurait soutenir euphémiquement, comme le fait la recourante, que le TAS avait "effleuré" la possible prise en considération du droit suisse. Il en appert, bien plutôt, que la Formation s'était réservé la faculté d'appliquer le droit suisse selon son bon vouloir. Dès lors, à supposer, ainsi que la recourante paraît le soutenir, que les parties n'eussent évoqué que le droit X.________ dans leurs différentes écritures, lesquelles étaient toutes antérieures à la date de reddition de l'ordonnance de procédure en question, la bonne foi eût commandé que la recourante réagît à réception de celle-ci et qu'elle s'insurgeât contre l'intention, exprimée par la Formation, de faire fond sur le droit suisse si elle le jugeait opportun. Au lieu de quoi, l'intéressée a choisi de rester silencieuse et a signé ladite ordonnance telle quelle. Partant, elle ne saurait venir invoquer aujourd'hui un quelconque effet de surprise, dont elle aurait été la victime, sans commettre ipso facto un abus de droit. Pour le surplus, une fois admis le caractère prévisible de l'application du droit suisse in casu , il n'y avait rien d'extraordinaire à ce que la Formation, dans sa démarche visant à trancher la cause en équité, fît appel, pour l'aider dans cette démarche, aux dispositions de ce droit régissant la résiliation pour justes motifs du contrat de travail. Aussi bien n'était-il pas insolite de qualifier ainsi le SEA qui formalisait les rapports professionnels noués par la recourante avec le coureur cycliste intimé. La recourante, il est vrai, consacre une grande partie de son mémoire à démontrer qu'elle serait tombée des nues en constatant que la Formation avait appliqué le droit suisse du travail au problème de l'extinction de l'AIR, alors que ce contrat, passé par deux personnes morales au sujet de l'exploitation de l'image d'un tiers, était exorbitant de toute relation de travail. Ce faisant, l'intéressée méconnaît la véritable nature de l'argumentation développée par la Formation relativement à l'AIR (cf. sentence, n. 158 à 164). Il en ressort que les arbitres n'ont pas conclu au caractère injustifié de la résiliation de l'AIR en appliquant les dispositions du code suisse des obligations concernant l'extinction des rapports de travail, mais en se fondant exclusivement sur une clause de l'AIR qui liait le sort de ce contrat à celui du SAE et en tirant la conclusion que cette clause imposait après avoir démontré que ce dernier contrat avait été résilié avec effet immédiat sans justes motifs. C'est aussi en ayant égard à l'interdépendance entre les deux contrats qu'ils ont fait référence, dans leur sentence en équité, à l' art. 339 al. 1 CO pour fixer la date d'exigibilité des créances découlant de la rupture unilatérale injustifiée de chacun d'eux (sentence, n. 206). Dans ces conditions, la recourante s'insurge à tort contre "l'irruption inopinée du droit suisse du travail et de l'art. 339 al. CO dans le cas de C.________ Sàrl".</w:t>
      </w:r>
    </w:p>
    <w:p>
      <w:r>
        <w:rPr>
          <w:b/>
        </w:rPr>
        <w:t>E. 4</w:t>
      </w:r>
    </w:p>
    <w:p>
      <w:r>
        <w:t>En second lieu, la recourante fait grief au Tribunal arbitral d'avoir également violé son droit d'être entendue, au sens de l' art. 190 al. 2 let . d LDIP, en ne s'avisant pas de ce qu'il lui imposait un devoir minimum d'examiner et de traiter les problèmes pertinents. A la suivre, les arbitres n'auraient pas tenu compte du raisonnement subsidiaire qu'elle avait développé au point B.6 de son mémoire d'arbitrage du 28 mai 2015 (p. 14/15) au sujet de la résiliation de l'AIR. Selon ce raisonnement, indépendamment de la résiliation automatique fondée sur l'art. 8.4 dudit contrat, la résiliation de ce dernier pouvait encore intervenir de manière autonome, en vertu de son art. 8.2, au cas où l'une des parties aurait commis un material breach , hypothèse qui se serait vérifiée en l'espèce en raison de "l'association de B.________ à une affaire de dopage". Selon la recourante, cet argument subsidiaire, développé pour le cas - avéré - où la Formation jugerait la résiliation du SEA injustifiée et arriverait à la même conclusion, par effet réflexe, en ce qui concerne l'AIR, était de nature à influer sur le sort du litige, en ce sens que les prétentions de C.________ Sàrl auraient dû être écartées si ce contrat avait été résilié valablement en application de son art. 8.2.</w:t>
      </w:r>
    </w:p>
    <w:p>
      <w:r>
        <w:rPr>
          <w:b/>
        </w:rPr>
        <w:t>E. 4.1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 Dans un récent arrêt, le Tribunal fédéral, répondant à une partie qui croyait avoir mis au jour un assouplissement de cette jurisprudence dans le sens d'un élargissement du contrôle fondé sur le déni de justice formel en lien avec l'omission de traiter un argument dans la sentence, a indiqué que tel n'était pas le cas. Au contraire, soulignant être confrontée à une tendance, qui ne cesse de s'accentuer, consistant pour nombre de recourants à invoquer cet aspect de la garantie du droit d'être entendu dans l'espoir d'obtenir indirectement un examen du fond de la sentence attaquée, la Ire Cour de droit civil a rappelé que le Tribunal fédéral n'est pas une juridiction d'appel et que le législateur a consciemment et volontairement restreint son pouvoir d'examen lorsqu'il l'a chargée de statuer sur les recours en matière d'arbitrage international (arrêt 4A_450/2015 du 16 décembre 2015 consid. 3.3.1, dernier §).</w:t>
      </w:r>
    </w:p>
    <w:p>
      <w:r>
        <w:rPr>
          <w:b/>
        </w:rPr>
        <w:t>E. 4.2</w:t>
      </w:r>
    </w:p>
    <w:p>
      <w:r>
        <w:t>En l'occurrence, force est d'admettre, sur le vu des explications convaincantes fournies par eux dans leurs réponses respectives (p. 4, ch. 7 pour celle du TAS et n. 55-64 pour celle des intimés), que le TAS et les intimés sont parvenus à faire la démonstration réservée par la jurisprudence susmentionnée. A cet égard, le contenu de la lettre du 21 juin 2013, par laquelle le mandataire de la recourante a résilié simultanément les deux contrats, revêt une importance capitale. Aussi convient-il d'en citer les passages déterminants: " Conformément à la clause résolutoire stipulée à l'article 8 du contrat « Self-employed agreement » signé entre ma mandante et votre client B.________, ledit contrat est résolu d'office, sinon résilié, avec effet au 14 juillet 2012. Conformément à la clause résolutoire stipulée à l'article 8.8.4 (recte: 8.4) du contrat « Agreement on image right » signée entre ma mandante et votre client B.________ et du fait de son interdépendance contractuelle, ledit contrat est également résolu d'office sinon résilié avec effet au 14 juillet 2012. L'automaticité des effets desdites clauses résolutoires entraînent (sic) dans le chef de votre client B.________ la restitution du salaire perçu pour le mois de juillet 2012... ainsi que l'annulation des factures émises par ce dernier pour la période de août 2012 à mars 2013. Les factures de C.________ pour la période de juillet 2012 à mars 2013 doivent également être annulées. ..." Sur le vu de cette lettre, la Formation pouvait légitimement estimer que, dans la mesure où la recourante elle-même n'avait invoqué à l'époque que l'art. 8.4 de l'AIR pour justifier la résiliation de ce contrat, tout en insistant sur l'automaticité des effets de la résiliation du SEA sur ce contrat connexe et, plus généralement, sur l'interdépendance entre les deux contrats signés le même jour, la référence à l'art. 8.2 de l'AIR, faite à titre subsidiaire dans un mémoire déposé quelque deux ans après la résiliation des contrats, ne constituait pas un argument pertinent nécessitant une réfutation expresse, dès lors que cet argument subsidiaire était en porte-à-faux avec le comportement adopté au moment des faits par la partie qui l'invoquait et semblait avoir été forgé de toutes pièces, a posteriori, pour les besoins de la cause. La remarque sibylline, formulée par la recourante sous chiffre 3 de sa réplique, d'après laquelle l'expression "résolu d'office sinon résilié", figurant au deuxième paragraphe de la lettre du 21 juin 2013 précitée, contenait déjà la distinction entre la résiliation de l'AIR par effet réflexe avec celle du SEA ("résolu d'office"), d'une part, et la résiliation indépendante fondée sur l'art. 8.2 de l'AIR ("sinon résilié"), d'autre part, manque de sérieux, d'autant plus que la même expression a été utilisée par l'auteur de ladite lettre à propos de la résiliation du seul SEA (cf. 1er § de la lettre en question). Il suit de là que le grief tiré de la violation du droit d'être entendu se révèle mal fondé sous cet angle également, ce qui entraîne le rejet du recours.</w:t>
      </w:r>
    </w:p>
    <w:p>
      <w:r>
        <w:rPr>
          <w:b/>
        </w:rPr>
        <w:t>E. 5</w:t>
      </w:r>
    </w:p>
    <w:p>
      <w:r>
        <w:t>La recourante, qui succombe, devra payer les frais de la procédure fédérale ( art. 66 al. 1 LTF ) et verser des dépens aux intimés, créanciers solidaires de l'indemnité qui leur est due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