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4A_202/2012 vom 12. Juli 2012</w:t>
      </w:r>
    </w:p>
    <w:p>
      <w:r>
        <w:t>Bundesgericht, 2012-07-12, FR</w:t>
      </w:r>
    </w:p>
    <w:p>
      <w:r>
        <w:rPr>
          <w:b/>
        </w:rPr>
        <w:t xml:space="preserve">Quelle: </w:t>
      </w:r>
      <w:r>
        <w:t>https://mcp.opencaselaw.ch/entscheid/bger_4A_202_2012</w:t>
      </w:r>
    </w:p>
    <w:p>
      <w:r>
        <w:t>FR: TF 4A_202/2012 du 12 juillet 2012</w:t>
      </w:r>
    </w:p>
    <w:p>
      <w:r>
        <w:t>IT: TF 4A_202/2012 del 12 luglio 2012</w:t>
      </w:r>
    </w:p>
    <w:p>
      <w:pPr>
        <w:pStyle w:val="Heading2"/>
      </w:pPr>
      <w:r>
        <w:t>Erwägungen</w:t>
      </w:r>
    </w:p>
    <w:p>
      <w:r>
        <w:rPr>
          <w:b/>
        </w:rPr>
        <w:t>E. 1.1</w:t>
      </w:r>
    </w:p>
    <w:p>
      <w:r>
        <w:t>Interjeté par la partie qui a succombé dans ses conclusions en libération de dette ( art. 76 al. 1 LTF ) et dirigé contre un arrêt final ( art. 90 LTF ) rendu en matière civile ( art. 72 al. 1 LTF ) par une autorité cantonale de dernière instance ( art. 75 LTF ) dans une affaire pécuniaire dont la valeur litigieuse dépasse le seuil de 30'000 fr. ( art. 74 al. 1 let. b LTF ), le recours est en principe recevable, puisqu'il a été déposé dans le délai (art. 46 al. 1 let. a, 48 al. 1 et 100 al. 1 LTF) et la forme ( art. 42 LTF ) prévus par la loi.</w:t>
      </w:r>
    </w:p>
    <w:p>
      <w:r>
        <w:rPr>
          <w:b/>
        </w:rPr>
        <w:t>E. 1.2</w:t>
      </w:r>
    </w:p>
    <w:p>
      <w:r>
        <w:t>Le recours peut être interjeté pour violation du droit, tel qu'il est délimité par les art. 95 et 96 LTF . Il peut donc aussi être formé pour violation d'un droit constitutionnel ( ATF 136 I 241 consid. 2.1 p. 247; 136 II 306 consid. 2.4 p. 313).</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w:t>
      </w:r>
    </w:p>
    <w:p>
      <w:r>
        <w:t>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136 II 304 consid. 2.4 p. 314)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w:t>
      </w:r>
    </w:p>
    <w:p>
      <w:r>
        <w:t>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La recourante se plaint d'une violation de son droit d'être entendue garanti par l' art. 29 al. 2 Cst. , plus précisément de son droit d'obtenir une décision motivée. Vu la nature formelle du droit d'être entendu, dont la violation entraîne l'annulation de la décision attaquée indépendamment des chances de succès du recours sur le fond ( ATF 127 V 431 consid. 3d/aa p. 437), il convient d'examiner en priorité ( ATF 124 I 49 consid. 1 p. 50) et avec une libre cognition ( ATF 121 I 54 consid. 2a p. 57) le moyen relatif à ce droit.</w:t>
      </w:r>
    </w:p>
    <w:p>
      <w:r>
        <w:t>La jurisprudence a déduit du droit d'être entendu consacré par l' art. 29 al. 2 Cst. l'obligation pour le juge de motiver ses décisions. L'autorité n'a pas l'obligation d'exposer et de discuter tous les faits, moyens de preuve et griefs invoqués par les parties, mais elle peut au contraire se limiter à ceux qui, sans arbitraire, lui paraissent pertinents ( ATF 134 I 83 consid. 4.1 p. 88). Savoir si la motivation présentée est convaincante est une question distincte de celle du droit à une décision motivée. Dès lors que l'on peut discerner les motifs qui ont guidé la décision du juge, le droit à une décision motivée est respecté (arrêt 4A_242/2009 du 10 décembre 2009 consid. 4.1 et les références; cf. ATF 126 I 97 consid. 2c p. 103).</w:t>
      </w:r>
    </w:p>
    <w:p>
      <w:r>
        <w:rPr>
          <w:b/>
        </w:rPr>
        <w:t>E. 2.2</w:t>
      </w:r>
    </w:p>
    <w:p>
      <w:r>
        <w:t>En l'espèce, la cour cantonale a expliqué la raison pour laquelle elle a considéré que l'avis des défauts, daté du 13 juillet 2007, était tardif. Constatant que la recourante avait commencé l'exploitation de son établissement dès fin mars 2007, elle s'est référée au "cours ordinaire des choses" pour conclure qu'il était certain que le mauvais fonctionnement de la hotte de la cuisine a dû être remarqué bien avant le 13 juillet 2007, l'installation défectueuse étant utilisée depuis plus de trois mois (pour les détails, cf. infra consid. 3.2).</w:t>
      </w:r>
    </w:p>
    <w:p>
      <w:r>
        <w:t>La motivation de la décision attaquée permet donc de comprendre sur la base de quel motif la cour cantonale a conclu à la tardiveté de l'avis des défauts et il ne saurait être question de violation du droit d'être entendu, autre étant la question de savoir si la motivation présentée est arbitraire (cf. arrêt 4A_242/2009 déjà cité consid. 4.2).</w:t>
      </w:r>
    </w:p>
    <w:p>
      <w:r>
        <w:rPr>
          <w:b/>
        </w:rPr>
        <w:t>E. 3.1</w:t>
      </w:r>
    </w:p>
    <w:p>
      <w:r>
        <w:t>La recourante revient sur l'avis relatif au défaut de la hotte d'aspiration de la cuisine. Seule reste litigieuse la question de savoir à quel moment elle a eu connaissance du défaut, étant précisé que l'avis y relatif a été communiqué à l'intimée par lettre du 13 juillet 2007.</w:t>
      </w:r>
    </w:p>
    <w:p>
      <w:r>
        <w:t>La cour cantonale estime que, selon le cours ordinaire des choses, le maître qui avait commencé l'exploitation de son établissement dès fin mars 2007 pouvait ne pas s'apercevoir du problème lié à la hotte dans les premiers jours suivant la mise en service de l'installation; selon elle, il est toutefois certain que le mauvais fonctionnement de la hotte a dû être remarqué bien avant le 13 juillet 2007, puisqu'à cette date, l'installation défectueuse était utilisée depuis plus de trois mois. Certes, la cour cantonale n'indique pas précisément le jour où le maître de l'ouvrage a pris effectivement connaissance du défaut; la motivation ne souffre toutefois d'aucune ambiguïté, la précision apportée par l'autorité précédente ("bien avant le ...") laissant clairement entendre qu'entre la prise de connaissance du défaut et l'envoi de l'avis, il s'est écoulé une période dépassant très largement le très court délai de réflexion (cf. ATF 118 II 142 consid. 3b p. 148) qui permettrait encore de considérer que le maître a envoyé son avis à temps selon l' art. 370 al. 3 CO .</w:t>
      </w:r>
    </w:p>
    <w:p>
      <w:r>
        <w:t>La recourante insiste sur le fait qu'elle a prouvé l'existence de l'avis des défauts et le moment où il a été donné (le 13 juillet 2007). Elle soutient que, contrairement à l'opinion de la cour cantonale, il incombait à l'intimée de démontrer la tardiveté de l'avis. Elle en veut pour preuve la position d'un auteur de doctrine (PETER GAUCH, Le contrat d'entreprise, 1999, adaptation française par Benoît Carron, p. 587 ss), dont elle reproduit in extenso de nombreux passages relatifs au fardeau de la preuve.</w:t>
      </w:r>
    </w:p>
    <w:p>
      <w:r>
        <w:t>Ce faisant, elle ignore purement et simplement les nombreux précédents rendus par le Tribunal fédéral sur cette question. Il est en effet de jurisprudence constante que lorsque le maître de l'ouvrage émet des prétentions en garantie et que l'entrepreneur affirme que l'ouvrage a été accepté en dépit de ses défauts, il incombe au maître de prouver qu'il a donné l'avis des défauts et qu'il l'a fait en temps utile; la charge de la preuve s'étend donc également au moment où il a eu connaissance des défauts. Si l'entrepreneur rétorque que le maître a déjà découvert le défaut auparavant, il doit alors de son côté établir son objection ( ATF 118 II 142 consid. 3a; 107 II 172 consid. 1a p. 176; 107 II 50 consid. 2a p. 54; plus récemment: arrêt 4A_83/2009 du 6 mai 2009 consid. 3.2.1; en matière de vente: arrêt 4D_4/2011 du 1er avril 2011 consid. 3).</w:t>
      </w:r>
    </w:p>
    <w:p>
      <w:r>
        <w:t>La recourante a simplement choisi, parmi les auteurs de doctrine, celui dont la thèse lui était favorable. Elle ne tente par contre pas de démontrer qu'une modification de la jurisprudence s'imposerait. Il apparaît ainsi d'emblée que, même à suivre la perspective dans laquelle la recourante a développé son argumentation (fardeau de la preuve), on ne pourrait reprocher aucune violation à la cour cantonale.</w:t>
      </w:r>
    </w:p>
    <w:p>
      <w:r>
        <w:t>Pour ce motif déjà, le moyen doit être déclaré mal fondé.</w:t>
      </w:r>
    </w:p>
    <w:p>
      <w:r>
        <w:rPr>
          <w:b/>
        </w:rPr>
        <w:t>E. 3.2</w:t>
      </w:r>
    </w:p>
    <w:p>
      <w:r>
        <w:t>Au demeurant, on peut encore observer qu'il résulte de l'arrêt entrepris (p. 17) que les magistrats cantonaux sont parvenus à une conviction ("il est certain que..."), retenant que le mauvais fonctionnement de la hotte a dû être remarqué "bien avant le 13 juillet 2007".</w:t>
      </w:r>
    </w:p>
    <w:p>
      <w:r>
        <w:t>Dès le moment où le juge - comme c'est le cas en l'espèce - est parvenu à une conviction sur la base de l'appréciation des preuves, l' art. 8 CC (ou l'article, en l'espèce l' art. 370 CO , sur la base duquel est invoqué le fardeau de la preuve) cesse d'être applicable et ne peut donc avoir été violé ( ATF 132 III 626 consid. 3.4 p. 634; 131 III 646 consid. 2.1 p. 649). En effet, cette disposition ne prescrit pas comment le juge doit apprécier les preuves et sur quelle base il peut parvenir à une conviction ( ATF 127 III 519 consid. 2a p. 522).</w:t>
      </w:r>
    </w:p>
    <w:p>
      <w:r>
        <w:t>Lorsque la recourante se plaint du fait qu'"aucune pièce ni enquête diligentée lors de la procédure" ne permet d'arriver à la conclusion à laquelle la cour précédente a abouti, il semble qu'elle critique la façon dont la cour cantonale a apprécié les preuves. Même à considérer qu'elle a valablement soulevé ce grief sous l'angle de l' art. 9 Cst (sur l'exigence de recevabilité, cf. supra consid. 1.2 et 1.3), le moyen devrait être déclaré mal fondé.</w:t>
      </w:r>
    </w:p>
    <w:p>
      <w:r>
        <w:t>Certes, la cour cantonale ne s'appuie sur aucune preuve directe pour retenir qu'il est certain que la connaissance effective du défaut a eu lieu bien avant la date du 13 juillet 2007 (cf. supra consid. 3.1). L'autorité précédente se base cependant sur plusieurs indices allant dans ce sens, notamment le fait que le maître a commencé son exploitation dès fin mars 2007 et que, dès le début, la fumée et les odeurs étaient mal évacuées; il est également établi que la porte de la cuisine et les passe-plats étaient en principe fermés, pour des motifs de sécurité en cas de feu (arrêt entrepris p. 14) et qu'ainsi la fumée stagnant dans la cuisine ne pouvait en principe pas être évacuée (arrêt entrepris p. 6). Dans ces conditions, la cour cantonale retient, selon le cours ordinaire des choses, que la recourante a dû prendre connaissance du défaut bien avant le 13 juillet 2007. Cette manière de procéder relève toujours de l'appréciation des preuves (entre autres auteurs: SPÜHLER/DOLGE/GEHRI, Schweizerisches Zivilprozessrecht, 9e éd. 2010, § 43 n. 64) et la recourante ne démontre pas que la déduction entreprise par l'autorité précédente serait insoutenable ( art. 9 Cst. ; sur la notion d'arbitraire: ATF 137 I 1 consid. 2.4 p. 5; 136 I 316 consid. 2.2.2 p. 318 s.; 136 III 552 consid. 4.2 p. 560; cf. également SPÜHLER/DOLGE/GEHRI, op. cit., § 43 n. 64). La recourante se borne à affirmer que le "défaut de ventilation était particulièrement difficile à déceler puisqu'il nécessitait la fermeture de toutes les issues y compris les passe-plats, lesquels sont selon le cours ordinaire des choses très fréquemment ouvert (sic) pour permettre l'exploitation de l'établissement". Sur ce dernier point, elle substitue son propre état de fait à celui établi par l'autorité cantonale, ce qui n'est pas admissible (cf. supra consid. 1.3).</w:t>
      </w:r>
    </w:p>
    <w:p>
      <w:r>
        <w:t>Le moyen tiré de l'arbitraire dans l'appréciation des preuves, pour autant que recevable, doit être déclaré mal fondé.</w:t>
      </w:r>
    </w:p>
    <w:p>
      <w:r>
        <w:rPr>
          <w:b/>
        </w:rPr>
        <w:t>E. 4</w:t>
      </w:r>
    </w:p>
    <w:p>
      <w:r>
        <w:t>Dans un ultime moyen, la recourante soutient que la cour cantonale a violé les art. 85 et 368 al. 2 CO en considérant que la somme de 6'488 fr. 30 relative à l'intervention de l'entreprise V.________ devait être retranchée du montant total des travaux réalisés par l'intimée (56'274 fr. 80); elle prétend que ce montant devait être porté en déduction de la créance de 39'079 fr. arrêtée dans la procédure en mainlevée.</w:t>
      </w:r>
    </w:p>
    <w:p>
      <w:r>
        <w:t>Cette motivation est sans consistance. La recourante semble confondre le prix de l'ouvrage (qui peut, selon l' art. 368 al. 2 CO , être réduit en proportion de la moins-value) et le montant pour lequel la mainlevée avait été prononcée par la cour cantonale dans son arrêt du 25 septembre 2008.</w:t>
      </w:r>
    </w:p>
    <w:p>
      <w:r>
        <w:t>Il a été retenu, en fait, que le montant total de la créance (prix de l'ouvrage) en faveur de l'intimée s'élevait à 121'609 fr. 50; déduction faite des acomptes versés, la recourante devait encore s'acquitter d'un solde se montant à 56'274 fr. 80. En vertu de l' art. 368 al. 2 CO , la somme de 6'488 fr. 30 devait être imputée sur ce solde. Le montant qui résulte de cette soustraction est encore supérieur au montant (39'079 fr.) pour lequel la mainlevée avait été prononcée par la cour cantonale dans son arrêt du 25 septembre 2008. Il n'y avait donc pas lieu, dans ces conditions, de réduire la somme de 39'079 fr., qui était l'objet de l'action en libération de dette.</w:t>
      </w:r>
    </w:p>
    <w:p>
      <w:r>
        <w:t>En réalité, la recourante voudrait choisir d'imputer la somme de 6'488 fr. 30 sur le montant objet de la mainlevée, plutôt que sur celui correspondant au prix de l'ouvrage. Or, comme l'a relevé à bon droit la cour cantonale, un tel choix est également proscrit sous l'angle de l' art. 85 CO ; cette disposition interdit précisément au débiteur, qui entend se livrer à un paiement partiel, de choisir la partie de la dette sur laquelle il entend imputer son paiement.</w:t>
      </w:r>
    </w:p>
    <w:p>
      <w:r>
        <w:t>Les moyens doivent être déclarés mal fondés.</w:t>
      </w:r>
    </w:p>
    <w:p>
      <w:r>
        <w:rPr>
          <w:b/>
        </w:rPr>
        <w:t>E. 5</w:t>
      </w:r>
    </w:p>
    <w:p>
      <w:r>
        <w:t>Il résulte des considérations qui précèdent que le recours doit être rejeté dans la mesure de sa recevabilité.</w:t>
      </w:r>
    </w:p>
    <w:p>
      <w:r>
        <w:t>Les frais judiciaires et les dépens sont mis solidairement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