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4A_202/2009 vom 23. Juni 2009</w:t>
      </w:r>
    </w:p>
    <w:p>
      <w:r>
        <w:t>Bundesgericht, 2009-06-23, FR</w:t>
      </w:r>
    </w:p>
    <w:p>
      <w:r>
        <w:rPr>
          <w:b/>
        </w:rPr>
        <w:t xml:space="preserve">Quelle: </w:t>
      </w:r>
      <w:r>
        <w:t>https://mcp.opencaselaw.ch/entscheid/bger_4A_202_2009</w:t>
      </w:r>
    </w:p>
    <w:p>
      <w:r>
        <w:t>FR: TF 4A_202/2009 du 23 juin 2009</w:t>
      </w:r>
    </w:p>
    <w:p>
      <w:r>
        <w:t>IT: TF 4A_202/2009 del 23 giugno 2009</w:t>
      </w:r>
    </w:p>
    <w:p>
      <w:pPr>
        <w:pStyle w:val="Heading2"/>
      </w:pPr>
      <w:r>
        <w:t>Erwägungen</w:t>
      </w:r>
    </w:p>
    <w:p>
      <w:r>
        <w:rPr>
          <w:b/>
        </w:rPr>
        <w:t>E. 1.1</w:t>
      </w:r>
    </w:p>
    <w:p>
      <w:r>
        <w:t>Interjeté par la partie qui a succombé dans ses conclusions libératoires ( art. 76 al. 1 LTF ) et dirigé contre un arrêt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100 al. 1 et 46 al. 1 let. a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p. 63)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130 III 138 consid. 1.4 p. 140). Une modification de l'état de fait ne peut cependant être demandée que si elle est susceptible d'influer sur le sort de la cause ( art. 97 al. 1 LTF ).</w:t>
      </w:r>
    </w:p>
    <w:p>
      <w:r>
        <w:t>L' art. 99 LTF , invoqué par la recourante, n'y change rien. L'alinéa premier de cette disposition autorise l'allégation de faits nouveaux et l'offre de preuves nouvelles devant le Tribunal fédéral dans les cas où la décision de l'autorité précédente justifie pour la première fois de soulever ces moyens. Le message du Conseil fédéral cite à titre d'exemple l'allégation des faits de procédure nécessaires pour établir que l'autorité précédente a violé le droit d'être entendu du recourant, ainsi que l'allégation de faits que la décision attaquée a pour la première fois rendus pertinents (Message du 28 février 2001 concernant la révision totale de l'organisation judiciaire fédérale, FF 2001 4137 ch. 4.1.3.3; cf. également les exemples donnés par BERNARD CORBOZ, in Commentaire de la LTF, 2009, no 20 ss ad art. 99 LTF ). L' art. 99 al. 1 LTF ne permet dès lors pas au Tribunal fédéral de tenir compte de faits déjà invoqués devant la cour cantonale, mais que celle-ci a refusé de prendre en considération pour des raisons de procédure. Dans une telle situation seule l'admission d'un grief d'application arbitraire du droit cantonal de procédure, soulevé et dûment motivé par la recourante (cf. art. 106 al. 2 LTF ), autoriserait à tenir compte de ces faits (arrêt 6B.52/2007 du 17 mai 2007 consid. 2.1).</w:t>
      </w:r>
    </w:p>
    <w:p>
      <w:r>
        <w:rPr>
          <w:b/>
        </w:rPr>
        <w:t>E. 1.4</w:t>
      </w:r>
    </w:p>
    <w:p>
      <w:r>
        <w:t>Le Tribunal fédéral ne peut aller au-delà des conclusions des parties ( art. 107 al. 1 LTF ).</w:t>
      </w:r>
    </w:p>
    <w:p>
      <w:r>
        <w:rPr>
          <w:b/>
        </w:rPr>
        <w:t>E. 2.1</w:t>
      </w:r>
    </w:p>
    <w:p>
      <w:r>
        <w:t>La recourante reproche à la cour cantonale d'avoir rejeté les offres de preuves qu'elle lui a présentées. Elle prétend que l'exigence, découlant de l' art. 401 CO , de l'individualisation des sommes d'argent n'est apparue pour la première fois que dans le jugement du tribunal de première instance. La cour cantonale aurait ainsi dû accepter les pièces que la recourante a produites devant elle et donner suite aux réquisitions de production de pièces qui lui ont été adressées, ces documents permettant de constater que la recourante gérait un compte spécial, au nom de Y.________ SA, distinct de l'autre compte que Y.________ SA utilisait pour ses affaires usuelles. Reprochant à la cour cantonale d'avoir ainsi violé son droit à la preuve, la recourante ne nomme pas expressément les dispositions légales qui auraient été transgressées. Elle reprend, en la critiquant, l'argumentation de l'instance cantonale qui se fonde sur les art. 452 ss du Code de procédure civile vaudois du 14 décembre 1966 (CPC/VD; RSV 270.11).</w:t>
      </w:r>
    </w:p>
    <w:p>
      <w:r>
        <w:rPr>
          <w:b/>
        </w:rPr>
        <w:t>E. 2.2.1</w:t>
      </w:r>
    </w:p>
    <w:p>
      <w:r>
        <w:t>A supposer qu'elle invoque la violation de son droit à la preuve déduit de l' art. 8 CC , la recourante ne motive pas le grief conformément aux réquisits de l' art. 42 al. 1 et 2 LTF .</w:t>
      </w:r>
    </w:p>
    <w:p>
      <w:r>
        <w:rPr>
          <w:b/>
        </w:rPr>
        <w:t>E. 2.2.2</w:t>
      </w:r>
    </w:p>
    <w:p>
      <w:r>
        <w:t>La question soulevée par la recourante a trait au droit cantonal. Or, le recours au Tribunal fédéral n'est pas ouvert pour se plaindre d'une mauvaise application de ce droit (cf. art. 95 et 96 LTF ; ATF 133 III 462 consid. 2.3 p. 466). Il reste néanmoins possible de se plaindre d'arbitraire au sens de l' art. 9 Cst. , ce qui constitue une violation du droit fédéral ( art. 95 let. a LTF ; ATF 133 I 201 consid. 1 p. 203, 133 III 462 consid. 2.3 p. 466). Il faut garder à l'esprit que l'examen du Tribunal fédéral se limite à dire si la cour cantonale est ou non tombée dans l'arbitraire.</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140 consid. 5.4 p. 148, 263 consid. 3.1 p. 265 s.).</w:t>
      </w:r>
    </w:p>
    <w:p>
      <w:r>
        <w:t>En l'espèce, la recourante n'invoque aucun grief motivé (cf. art. 106 al. 2 LTF ) d'application insoutenable du droit de procédure civile vaudois.</w:t>
      </w:r>
    </w:p>
    <w:p>
      <w:r>
        <w:rPr>
          <w:b/>
        </w:rPr>
        <w:t>E. 2.2.3</w:t>
      </w:r>
    </w:p>
    <w:p>
      <w:r>
        <w:t>Fût-il recevable, le grief d'arbitraire serait de toute manière mal fondé.</w:t>
      </w:r>
    </w:p>
    <w:p>
      <w:r>
        <w:t>En vertu de l' art. 197 LP , les biens propriété du débiteur lors de la déclaration de faillite tombent dans la masse et sont affectés au paiement des créanciers. L' art. 401 CO institue une exception en faveur du mandant. Selon cette règle, le mandant qui a satisfait à ses obligations est légalement subrogé aux droits du mandataire, qui a acquis en son propre nom, mais pour le compte du mandant, des créances contre des tiers ou des choses mobilières. Il peut revendiquer dans la faillite du mandataire lesdites créances et les biens meubles acquis pour son compte ( ATF 102 II 103 consid. 1 p. 106, 297 consid. 2c p. 301). En règle générale, l' art. 401 CO ne s'applique pas à une somme d'argent encaissée par le mandataire avant la faillite. Pour que cette disposition trouve néanmoins application, il faut que l'argent perçu par le mandataire soit individualisé. Les sommes qui lui sont versées doivent être créditées sur un compte spécial, distinct du patrimoine du mandataire, dont celui-ci ne peut plus disposer librement (cf. ATF 102 II 103 consid. 5 p. 110; 102 II 297 consid. 3b p. 303 s.; PIERRE TERCIER, Les contrats spéciaux, 4e éd. 2009, n. 5180 p. 778). Le compte spécial doit en outre être établi au nom du mandant seul (arrêt B.116/1990 du 20 juillet 1990, publié dans la SJ 1990 p. 637; cf. ATF 102 II 297 consid. 3b p. 303 s.; entre autres auteurs: TERCIER, op. cit., avec les références citées).</w:t>
      </w:r>
    </w:p>
    <w:p>
      <w:r>
        <w:t>La recourante tend à démontrer - par les nouvelles pièces produites devant la cour cantonale, ou dont elle requiert la production - qu'elle gérait un compte spécial et distinct ouvert, au nom de Y.________ SA, pour l'activité déployée pour son propre compte. Y.________ SA n'en conservait pas moins la liberté d'en disposer. La cour cantonale a en effet retenu ( art. 105 al. 1 CO ) qu'une fois le produit de la vente des médicaments encaissé sur le compte au nom de Y.________ SA, celle-ci acquittait alors à son tour les factures correspondant aux produits que X.________ SA lui avait vendus. La recourante soutient qu'elle gérait elle-même le compte. Cette allégation, d'ailleurs de nature purement appellatoire, ne permet pas encore de conclure que Y.________ SA ne pouvait plus disposer librement de ce même compte. Enfin, au dire même de la recourante, ce dernier n'était pas établi au nom de X.________ SA (la mandante). Les exigences strictes tirées de l' art. 401 CO ne sont ainsi pas réalisées. Le point soulevé par la recourante n'est donc pas de nature à modifier la décision.</w:t>
      </w:r>
    </w:p>
    <w:p>
      <w:r>
        <w:rPr>
          <w:b/>
        </w:rPr>
        <w:t>E. 3.1</w:t>
      </w:r>
    </w:p>
    <w:p>
      <w:r>
        <w:t>La recourante revient à la charge en considérant que la solution retenue par la cour cantonale, accordant la totalité des créances litigieuses à l'intimée, est choquante dans la mesure où elle consacre la gratuité des produits X.________ SA. Selon elle, la masse en faillite de Y.________ SA recevrait en effet un cadeau de plus de 100'000 fr. et la recourante n'ayant pas pu produire dans la faillite ne toucherait pas un centime pour les produits qu'elle a pourtant fabriqués et vendus.</w:t>
      </w:r>
    </w:p>
    <w:p>
      <w:r>
        <w:rPr>
          <w:b/>
        </w:rPr>
        <w:t>E. 3.2</w:t>
      </w:r>
    </w:p>
    <w:p>
      <w:r>
        <w:t>En retenant que les conditions d'application de l' art. 401 CO n'étaient pas remplies en l'espèce, la cour cantonale est arrivée à la conclusion que la recourante ne saurait invoquer la distraction des sommes litigieuses de la masse en faillite de Y.________ SA. L'autorité cantonale n'a nullement qualifié de gratuits les produits de la recourante, mais uniquement jugé que ces sommes étaient tombées dans la masse en faillite et qu'elles étaient ainsi affectées au paiement des créanciers de la masse. Il incombait dès lors à la recourante de veiller à produire les créances litigieuses au sein de la faillite de Y.________ SA . Le grief est donc inconsistant.</w:t>
      </w:r>
    </w:p>
    <w:p>
      <w:r>
        <w:rPr>
          <w:b/>
        </w:rPr>
        <w:t>E. 4</w:t>
      </w:r>
    </w:p>
    <w:p>
      <w:r>
        <w:t>Il résulte des considérants qui précèdent que le recours doit être rejeté.</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