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201/2019 vom 9. Dezember 2019</w:t>
      </w:r>
    </w:p>
    <w:p>
      <w:r>
        <w:t>Bundesgericht, 2019-12-09, FR</w:t>
      </w:r>
    </w:p>
    <w:p>
      <w:r>
        <w:rPr>
          <w:b/>
        </w:rPr>
        <w:t xml:space="preserve">Quelle: </w:t>
      </w:r>
      <w:r>
        <w:t>https://mcp.opencaselaw.ch/entscheid/bger_4A_201_2019</w:t>
      </w:r>
    </w:p>
    <w:p>
      <w:r>
        <w:t>FR: TF 4A 201/2019 du 9 décembre 2019</w:t>
      </w:r>
    </w:p>
    <w:p>
      <w:r>
        <w:t>IT: TF 4A 201/2019 del 9 dicembre 2019</w:t>
      </w:r>
    </w:p>
    <w:p>
      <w:pPr>
        <w:pStyle w:val="Heading2"/>
      </w:pPr>
      <w:r>
        <w:t>Regeste</w:t>
      </w:r>
    </w:p>
    <w:p>
      <w:r>
        <w:t>Procédure simplifiée, question juridique de principe, arbitraire, | Droit des contrats</w:t>
      </w:r>
    </w:p>
    <w:p>
      <w:pPr>
        <w:pStyle w:val="Heading2"/>
      </w:pPr>
      <w:r>
        <w:t>Erwägungen</w:t>
      </w:r>
    </w:p>
    <w:p>
      <w:r>
        <w:rPr>
          <w:b/>
        </w:rPr>
        <w:t>E. 1.1</w:t>
      </w:r>
    </w:p>
    <w:p>
      <w:r>
        <w:t>Déposé en temps utile ( art. 100 al. 1 LTF en lien avec l' art. 46 al. 1 let. a LTF ) par la défenderesse qui a succombé dans ses conclusions libératoires ( art. 76 al. 1 LTF ), le présent recours est dirigé contre un arrêt final ( art. 90 LTF ) rendu en matière civile ( art. 72 al. 1 LTF ) par un tribunal supérieur statuant sur recours ( art. 75 LTF ; sur la compétence de la juridiction ordinaire, cf. aussi art. 1 al. 3 LECCT ; RS 221.215.311).</w:t>
      </w:r>
    </w:p>
    <w:p>
      <w:r>
        <w:rPr>
          <w:b/>
        </w:rPr>
        <w:t>E. 1.2</w:t>
      </w:r>
    </w:p>
    <w:p>
      <w:r>
        <w:t>S'agissant d'une affaire pécuniaire, le recours en matière civile n'est recevable que si la valeur litigieuse s'élève au moins à 30'000 fr. ( art. 74 al. 1 let. b LTF ; ATF 140 III 391 consid. 1.3 p. 394 et l'arrêt cité) ou, à défaut, si la contestation soulève une question juridique de principe ( art. 74 al. 2 let. a LTF ). Il convient donc d'examiner si l'une ou l'autre de ces exigences est réalisée en l'espèce. Les conclusions prises devant l'autorité précédente n'atteignent pas le seuil minimal de 30'000 fr. Le recours en matière civile n'est donc pas recevable au regard de l' art. 74 al. 1 let. b LTF . La défenderesse fait cependant valoir que la contestation poserait deux questions juridiques de principe au sens de l' art. 74 al. 2 let. a LTF .</w:t>
      </w:r>
    </w:p>
    <w:p>
      <w:r>
        <w:rPr>
          <w:b/>
        </w:rPr>
        <w:t>E. 2.1</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p. 161 et les arrêts cités). Si le point soulevé ne concerne que l'application de principes jurisprudentiels à un cas particulier, il ne saurait être qualifié de question juridique de principe ( ATF 141 II 113 consid. 1.4.1 p. 119). La partie recourante doit démontrer, sous peine d'irrecevabilité, que la décision attaquée soulève une telle question, à moins que celle-ci s'impose de façon évidente (art. 42 al. 2, 2e phr., et art. 108 al. 1 let. b LTF ; ATF 141 II 353 consid. 1.2 p. 361; 140 III 501 consid. 1.3).</w:t>
      </w:r>
    </w:p>
    <w:p>
      <w:r>
        <w:rPr>
          <w:b/>
        </w:rPr>
        <w:t>E. 2.2.1</w:t>
      </w:r>
    </w:p>
    <w:p>
      <w:r>
        <w:t>La première question juridique - prétendument de principe - concernerait la nature et la portée d'un rapport établi à la demande de X.________ au terme d'une procédure instaurée par la Convention collective de travail pour les échafaudeurs suisse 2012 - 2015 étendue par le Conseil fédéral. De l'avis de la recourante, le Tribunal fédéral n'a jamais indiqué si ce rapport est un moyen de preuve au sens de l' art. 168 CPC ou une simple allégation de partie. En dépit de l'opinion différente de la recourante, cette question ne fait pas l'objet d'incertitudes et ne requiert pas des éclaircissements de la part du Tribunal fédéral. On observera d'emblée que X.________ est une association de droit privé ( art. 60 ss CC ) (cf. supra let. A 2e par.; ATF 134 III 541 consid. 4.2 p. 545). Se pose dès lors la question de savoir s'il appartenait à la défenderesse de contester la décision rendue par cette association conformément à l' art. 75 CC . La cour précédente ne s'est pas prononcée sur ce point et les constatations cantonales ne donnent que des informations partielles sur l'organisation et le fonctionnement de l'association X.________. La défenderesse semble toutefois en être un membre indirect et, partant, un " sociétaire " qui pouvait (et devait) intenter, dans le délai d'un mois prévu par l' art. 75 CC , l'action en découlant pour obtenir l'examen de la décision litigieuse par le juge, qui disposait d'un pouvoir d'examen libre (cf. arrêt 4A_314/2017 du 28 mai 2018 consid. 2.3.2.2; sur le pouvoir d'examen, cf. ATF 134 III 193 consid. 4.4). Il n'est toutefois pas nécessaire d'examiner cette question de manière plus approfondie puisque, même si l'on fait abstraction de la procédure qui vient d'être évoquée (fondée sur l' art. 75 CC ), la question posée par la recourante appelle une réponse qui découle exclusivement de l'application des principes jurisprudentiels connus (fardeau de l'allégation, droit à la preuve, appréciation des preuves). En effet, même si l'association est légitimée à prononcer des sanctions en application de la CCT, elle garde son caractère de personne privée. Le fait que la CCT 2012-2015 a été étendue par le Conseil fédéral n'y change rien car la LECCT ne lui confère pas de pouvoirs para-étatiques (MEIER/PÄRLI, Contrôle des conditions de travail par les partenaires sociaux, 2018, n. 489 p. 168 et l'auteur cité). C'est donc en qualité de personne privée que l'association a formé une action en paiement devant les juridictions civiles. Ces dernières disposent, dans cette procédure également, d'un pouvoir d'examen libre pour examiner les sanctions litigieuses prononcées par l'association, dont celle-ci requiert l'exécution par la voie civile. Il était donc clair, pour les juges saisis de l'action en paiement, que le rapport de l'expert produit par l'association devait être qualifié, à la lumière de la jurisprudence fédérale, d'expertise privée et que le contenu du rapport consistait en de simples allégations de partie ( ATF 141 III 433 consid. 2 p. 433 ss), ce que la recourante reconnaît d'ailleurs à plusieurs reprises.</w:t>
      </w:r>
    </w:p>
    <w:p>
      <w:r>
        <w:rPr>
          <w:b/>
        </w:rPr>
        <w:t>E. 2.2.2</w:t>
      </w:r>
    </w:p>
    <w:p>
      <w:r>
        <w:t>La seconde question juridique de principe " permettra[it] de préciser la formulation et le degré de précision des conclusions prises " et, en particulier de savoir ce qu'il advient lorsque " le demandeur ne cite pas nommément le défendeur dans ses conclusions ". La manière de formuler les conclusions en procédure simplifiée a déjà fait l'objet de nombreux arrêts publiés (cf. ATF 142 III 102 consid. 5.3.1; 137 III 617 consid. 4.3) et on ne voit pas en quoi cette jurisprudence mériterait, en lien avec le cas d'espèce, des éclaircissements de la part du Tribunal fédéral. La question posée par la recourante ne concerne que l'application de principes jurisprudentiels à un cas particulier.</w:t>
      </w:r>
    </w:p>
    <w:p>
      <w:r>
        <w:rPr>
          <w:b/>
        </w:rPr>
        <w:t>E. 2.3</w:t>
      </w:r>
    </w:p>
    <w:p>
      <w:r>
        <w:t>Le recours en matière civile est dès lors irrecevable. Partant, la voie du recours constitutionnel subsidiaire est ouverte (cf. art. 113 LTF ). A l'appui de ce recours, la recourante se plaint de la violation de l'interdiction de l'arbitraire ( art. 9 Cst. ) et de la transgression des garanties de procédure judiciaire ( art. 30 Cst. ).</w:t>
      </w:r>
    </w:p>
    <w:p>
      <w:r>
        <w:rPr>
          <w:b/>
        </w:rPr>
        <w:t>E. 2.3.1</w:t>
      </w:r>
    </w:p>
    <w:p>
      <w:r>
        <w:t>Dans sa première critique, la recourante se plaint de ce que les instances cantonales se sont comportées " comme des autorités d'enregistrement ", se bornant à faire leur les conclusions prises par l'expert dans son rapport. Elle leur reproche une grave violation du principe de l'allégation, du fardeau de la preuve, du droit à la preuve et de l'appréciation des preuves. Elle ne fournit toutefois pas le début d'une motivation permettant de comprendre en quoi l'autorité précédente aurait appliqué arbitrairement ces différents principes (ou droits). Il n'y a dès lors pas lieu d'entrer en matière sur ce moyen. La recourante émet diverses critiques générales (notamment s'agissant de la compétence, du mandat, de l'étendue et de la validité du rapport d'expertise, ainsi que sur de prétendues allégations non prouvées), sans toutefois se référer à la partie correspondante de la motivation cantonale. Il résulte de l'arrêt attaqué que les juges ont pris position (au moins en partie) sur ces critiques, déjà soulevées en appel par la défenderesse, et il incombait à celle-ci de partir des éléments déterminants de l'arrêt cantonal pour en démontrer l'arbitraire par une motivation circonstanciée, ce qu'elle n'a pas fait. Le moyen est irrecevable. S'agissant de la peine conventionnelle (montant retenu, critères de calcul pris en compte), les magistrats précédents ont considéré que la défenderesse (alors appelante) était " forclose pour invoquer ce grief au stade de l'appel seulement ". La recourante, qui formule divers reproches à l'endroit de la cour cantonale s'agissant du montant de la peine conventionnelle, n'aborde toutefois pas la question de la forclusion de sorte que la Cour de céans ne saurait y revenir. Le renvoi de la défenderesse à la partie de son recours en matière civile ayant traité de la peine conventionnelle - à première vue admissible puisque la recourante y invoque l' art. 9 Cst. (cf. ATF 134 III 379 consid. 1.2 p. 382) - appelle le même commentaire. C'est en vain que la recourante revient sur les violations de la CCT consacrées par la cour cantonale, sa critique s'appuyant sur la prémisse - écartée plus haut (cf. supra 1er par.) - selon laquelle les instances précédentes auraient agi comme des " autorités d'enregistrement ".</w:t>
      </w:r>
    </w:p>
    <w:p>
      <w:r>
        <w:rPr>
          <w:b/>
        </w:rPr>
        <w:t>E. 2.3.2</w:t>
      </w:r>
    </w:p>
    <w:p>
      <w:r>
        <w:t>Dans son second grief, la recourante reproche à la cour cantonale de n'avoir pas respecté les garanties de procédure judiciaire, selon lesquelles " toute personne dont la cause doit être jugée dans une procédure judiciaire a droit à ce que sa cause soit portée devant un tribunal établi par la loi, compétent, indépendant et impartial (...) ( art. 30 Cst. ). En substance, elle fait grief à la cour cantonale d'avoir repris le contenu et les conclusions de l'expertise privée " sans exerce[r] aucun pouvoir d'examen ". Des brèves explications qu'elle fournit, on ne comprend toutefois pas en quoi l' art. 30 Cst. aurait été violé par l'autorité cantonale. On ne saurait à tout le moins pas en conclure que l'autorité cantonale aurait failli à ses devoirs d'indépendance et d'impartialité. Sous couvert d'une transgression de l' art. 30 Cst. , la recourante semble en réalité revenir sur son premier grief visant l'appréciation arbitraire des preuves et la violation du droit à la preuve. Il a déjà été fait justice à ces critiques (cf. supra consid. 2.3.1).</w:t>
      </w:r>
    </w:p>
    <w:p>
      <w:r>
        <w:rPr>
          <w:b/>
        </w:rPr>
        <w:t>E. 3</w:t>
      </w:r>
    </w:p>
    <w:p>
      <w:r>
        <w:t>Il résulte des considérations qui précèdent que le recours en matière civile est irrecevable et que le recours constitutionnel doit être rejeté dans la mesure où il est recevable. Les frais sont mis à la charge de la recourante, qui succombe ( art. 66 al. 1 LTF ). 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